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0"/>
        <w:gridCol w:w="5651"/>
      </w:tblGrid>
      <w:tr w:rsidR="005337A1" w:rsidRPr="00651AD8" w:rsidTr="005337A1">
        <w:tc>
          <w:tcPr>
            <w:tcW w:w="4789" w:type="dxa"/>
          </w:tcPr>
          <w:p w:rsidR="005337A1" w:rsidRPr="00651AD8" w:rsidRDefault="005337A1" w:rsidP="00EF780A">
            <w:pPr>
              <w:pStyle w:val="1"/>
              <w:ind w:firstLine="0"/>
              <w:rPr>
                <w:b/>
                <w:sz w:val="40"/>
                <w:szCs w:val="40"/>
              </w:rPr>
            </w:pPr>
            <w:r w:rsidRPr="00651AD8">
              <w:rPr>
                <w:b/>
                <w:sz w:val="40"/>
                <w:szCs w:val="40"/>
              </w:rPr>
              <w:t>Республика Ингушетия</w:t>
            </w:r>
          </w:p>
        </w:tc>
        <w:tc>
          <w:tcPr>
            <w:tcW w:w="5667" w:type="dxa"/>
          </w:tcPr>
          <w:p w:rsidR="005337A1" w:rsidRPr="00651AD8" w:rsidRDefault="005337A1" w:rsidP="00EF780A">
            <w:pPr>
              <w:pStyle w:val="1"/>
              <w:ind w:firstLine="0"/>
              <w:jc w:val="right"/>
              <w:rPr>
                <w:b/>
                <w:szCs w:val="28"/>
              </w:rPr>
            </w:pPr>
            <w:r w:rsidRPr="00651AD8">
              <w:rPr>
                <w:b/>
                <w:noProof/>
                <w:szCs w:val="28"/>
              </w:rPr>
              <w:drawing>
                <wp:inline distT="0" distB="0" distL="0" distR="0">
                  <wp:extent cx="857249" cy="876300"/>
                  <wp:effectExtent l="19050" t="0" r="1" b="0"/>
                  <wp:docPr id="1" name="Рисунок 1" descr="http://upload.wikimedia.org/wikipedia/commons/thumb/9/9b/Coat_of_Arms_of_Ingushetia.svg/250px-Coat_of_Arms_of_Ingushetia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" descr="http://upload.wikimedia.org/wikipedia/commons/thumb/9/9b/Coat_of_Arms_of_Ingushetia.svg/250px-Coat_of_Arms_of_Ingushetia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43" cy="8783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P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337A1">
        <w:rPr>
          <w:rFonts w:ascii="Times New Roman" w:hAnsi="Times New Roman" w:cs="Times New Roman"/>
          <w:b/>
          <w:sz w:val="40"/>
          <w:szCs w:val="40"/>
        </w:rPr>
        <w:t xml:space="preserve">СВОДНЫЙ ДОКЛАД </w:t>
      </w:r>
    </w:p>
    <w:p w:rsidR="005337A1" w:rsidRP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37A1" w:rsidRP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37A1">
        <w:rPr>
          <w:rFonts w:ascii="Times New Roman" w:hAnsi="Times New Roman" w:cs="Times New Roman"/>
          <w:b/>
          <w:sz w:val="32"/>
          <w:szCs w:val="32"/>
        </w:rPr>
        <w:t>О РЕЗУЛЬТАТАХ ОЦЕНКИ ЭФФЕКТИВНОСТИ ДЕЯТЕЛЬНОСТИ</w:t>
      </w:r>
    </w:p>
    <w:p w:rsidR="005337A1" w:rsidRP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37A1">
        <w:rPr>
          <w:rFonts w:ascii="Times New Roman" w:hAnsi="Times New Roman" w:cs="Times New Roman"/>
          <w:b/>
          <w:sz w:val="32"/>
          <w:szCs w:val="32"/>
        </w:rPr>
        <w:t>ОРГАНОВ МЕСТНОГО САМОУПРАВЛЕНИЯ</w:t>
      </w: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37A1">
        <w:rPr>
          <w:rFonts w:ascii="Times New Roman" w:hAnsi="Times New Roman" w:cs="Times New Roman"/>
          <w:b/>
          <w:sz w:val="32"/>
          <w:szCs w:val="32"/>
        </w:rPr>
        <w:t xml:space="preserve">РЕСПУБЛИКИ ИНГУШЕТИЯ </w:t>
      </w:r>
    </w:p>
    <w:p w:rsidR="001D6480" w:rsidRPr="005337A1" w:rsidRDefault="001D6480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2014 ГОД</w:t>
      </w: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E92" w:rsidRDefault="00686E92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7A1" w:rsidRDefault="005337A1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7F2" w:rsidRDefault="00E3428F" w:rsidP="00166FB8">
      <w:pPr>
        <w:tabs>
          <w:tab w:val="left" w:pos="6825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="005337A1">
        <w:rPr>
          <w:rFonts w:ascii="Times New Roman" w:hAnsi="Times New Roman" w:cs="Times New Roman"/>
          <w:b/>
          <w:bCs/>
          <w:sz w:val="28"/>
          <w:szCs w:val="28"/>
        </w:rPr>
        <w:t>Магас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5337A1">
        <w:rPr>
          <w:rFonts w:ascii="Times New Roman" w:hAnsi="Times New Roman" w:cs="Times New Roman"/>
          <w:b/>
          <w:bCs/>
          <w:sz w:val="28"/>
          <w:szCs w:val="28"/>
        </w:rPr>
        <w:t xml:space="preserve"> 2015 год</w:t>
      </w:r>
    </w:p>
    <w:p w:rsidR="00D257F2" w:rsidRDefault="00D257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7552B" w:rsidRPr="00B7552B" w:rsidRDefault="006E322E" w:rsidP="005619FB">
      <w:pPr>
        <w:autoSpaceDE w:val="0"/>
        <w:autoSpaceDN w:val="0"/>
        <w:adjustRightInd w:val="0"/>
        <w:spacing w:after="0" w:line="240" w:lineRule="auto"/>
        <w:ind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52B">
        <w:rPr>
          <w:rFonts w:ascii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r>
        <w:rPr>
          <w:rFonts w:ascii="Times New Roman" w:hAnsi="Times New Roman" w:cs="Times New Roman"/>
          <w:b/>
          <w:sz w:val="28"/>
          <w:szCs w:val="28"/>
        </w:rPr>
        <w:t xml:space="preserve">, В СООТВЕТСТВИИ С КОТОРЫМИ ПРОВОДИТСЯ ОЦЕНКА ЭФФЕКТИВНОСТИ ДЕЯТЕЛЬНОСТИ </w:t>
      </w:r>
      <w:r w:rsidRPr="00B7552B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</w:p>
    <w:p w:rsidR="00B7552B" w:rsidRDefault="00B7552B" w:rsidP="005619FB">
      <w:pPr>
        <w:autoSpaceDE w:val="0"/>
        <w:autoSpaceDN w:val="0"/>
        <w:adjustRightInd w:val="0"/>
        <w:spacing w:after="0" w:line="240" w:lineRule="auto"/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52B" w:rsidRPr="005619FB" w:rsidRDefault="00B7552B" w:rsidP="005619F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9FB">
        <w:rPr>
          <w:rFonts w:ascii="Times New Roman" w:hAnsi="Times New Roman" w:cs="Times New Roman"/>
          <w:b/>
          <w:sz w:val="28"/>
          <w:szCs w:val="28"/>
        </w:rPr>
        <w:t>Нормативные правовые акты Российской Федерации</w:t>
      </w:r>
      <w:r w:rsidR="00642F10" w:rsidRPr="005619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619FB" w:rsidRDefault="005619FB" w:rsidP="005619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52B" w:rsidRPr="005619FB" w:rsidRDefault="00642F10" w:rsidP="005619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9FB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 w:rsidR="00EA0184" w:rsidRPr="005619FB">
        <w:rPr>
          <w:rFonts w:ascii="Times New Roman" w:hAnsi="Times New Roman" w:cs="Times New Roman"/>
          <w:sz w:val="28"/>
          <w:szCs w:val="28"/>
        </w:rPr>
        <w:t xml:space="preserve">от 28 апреля 2008 г. </w:t>
      </w:r>
      <w:r w:rsidRPr="005619FB">
        <w:rPr>
          <w:rFonts w:ascii="Times New Roman" w:hAnsi="Times New Roman" w:cs="Times New Roman"/>
          <w:sz w:val="28"/>
          <w:szCs w:val="28"/>
        </w:rPr>
        <w:t xml:space="preserve">№ 607 </w:t>
      </w:r>
      <w:r w:rsidR="00EA0184" w:rsidRPr="005619FB">
        <w:rPr>
          <w:rFonts w:ascii="Times New Roman" w:hAnsi="Times New Roman" w:cs="Times New Roman"/>
          <w:sz w:val="28"/>
          <w:szCs w:val="28"/>
        </w:rPr>
        <w:t xml:space="preserve">«Об оценке </w:t>
      </w:r>
      <w:proofErr w:type="gramStart"/>
      <w:r w:rsidR="00EA0184" w:rsidRPr="005619FB"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="00EA0184" w:rsidRPr="005619FB">
        <w:rPr>
          <w:rFonts w:ascii="Times New Roman" w:hAnsi="Times New Roman" w:cs="Times New Roman"/>
          <w:sz w:val="28"/>
          <w:szCs w:val="28"/>
        </w:rPr>
        <w:t xml:space="preserve"> и муниципальных районов»; </w:t>
      </w:r>
    </w:p>
    <w:p w:rsidR="00EA0184" w:rsidRPr="005619FB" w:rsidRDefault="00004073" w:rsidP="005619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19F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декабря 2012 г. № 1317 «О мерах по реализации Указа Президента Российской Федерации от 28 апреля 2008 г. </w:t>
      </w:r>
      <w:hyperlink r:id="rId9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Pr="005619FB">
          <w:rPr>
            <w:rFonts w:ascii="Times New Roman" w:hAnsi="Times New Roman" w:cs="Times New Roman"/>
            <w:sz w:val="28"/>
            <w:szCs w:val="28"/>
          </w:rPr>
          <w:t>№ 607</w:t>
        </w:r>
      </w:hyperlink>
      <w:r w:rsidRPr="005619FB">
        <w:rPr>
          <w:rFonts w:ascii="Times New Roman" w:hAnsi="Times New Roman" w:cs="Times New Roman"/>
          <w:sz w:val="28"/>
          <w:szCs w:val="28"/>
        </w:rPr>
        <w:t xml:space="preserve">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 от 7 мая 2012 г. </w:t>
      </w:r>
      <w:hyperlink r:id="rId10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Pr="005619FB">
          <w:rPr>
            <w:rFonts w:ascii="Times New Roman" w:hAnsi="Times New Roman" w:cs="Times New Roman"/>
            <w:sz w:val="28"/>
            <w:szCs w:val="28"/>
          </w:rPr>
          <w:t>№ 601</w:t>
        </w:r>
      </w:hyperlink>
      <w:r w:rsidRPr="005619FB">
        <w:rPr>
          <w:rFonts w:ascii="Times New Roman" w:hAnsi="Times New Roman" w:cs="Times New Roman"/>
          <w:sz w:val="28"/>
          <w:szCs w:val="28"/>
        </w:rPr>
        <w:t xml:space="preserve"> «Об основных направлениях совершенствования системы государственного управления»</w:t>
      </w:r>
      <w:proofErr w:type="gramEnd"/>
    </w:p>
    <w:p w:rsidR="00EA0184" w:rsidRPr="005619FB" w:rsidRDefault="00EA0184" w:rsidP="005619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52B" w:rsidRPr="005619FB" w:rsidRDefault="00B7552B" w:rsidP="005619F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9FB">
        <w:rPr>
          <w:rFonts w:ascii="Times New Roman" w:hAnsi="Times New Roman" w:cs="Times New Roman"/>
          <w:b/>
          <w:sz w:val="28"/>
          <w:szCs w:val="28"/>
        </w:rPr>
        <w:t xml:space="preserve">Нормативные правовые акты </w:t>
      </w:r>
      <w:r w:rsidR="00004073" w:rsidRPr="005619FB">
        <w:rPr>
          <w:rFonts w:ascii="Times New Roman" w:hAnsi="Times New Roman" w:cs="Times New Roman"/>
          <w:b/>
          <w:sz w:val="28"/>
          <w:szCs w:val="28"/>
        </w:rPr>
        <w:t>Республики Ингушетия</w:t>
      </w:r>
      <w:r w:rsidR="00D26613" w:rsidRPr="005619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7552B" w:rsidRPr="005619FB" w:rsidRDefault="00B7552B" w:rsidP="005619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B8D" w:rsidRPr="005619FB" w:rsidRDefault="007C2B8D" w:rsidP="005619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9FB">
        <w:rPr>
          <w:rFonts w:ascii="Times New Roman" w:hAnsi="Times New Roman" w:cs="Times New Roman"/>
          <w:sz w:val="28"/>
          <w:szCs w:val="28"/>
        </w:rPr>
        <w:t>Указ Главы Республики Ингуше</w:t>
      </w:r>
      <w:r w:rsidR="00063DA4" w:rsidRPr="005619FB">
        <w:rPr>
          <w:rFonts w:ascii="Times New Roman" w:hAnsi="Times New Roman" w:cs="Times New Roman"/>
          <w:sz w:val="28"/>
          <w:szCs w:val="28"/>
        </w:rPr>
        <w:t>тия от 17 октября 2014 г. № 196</w:t>
      </w:r>
      <w:r w:rsidR="00D26613" w:rsidRPr="005619FB">
        <w:rPr>
          <w:rFonts w:ascii="Times New Roman" w:hAnsi="Times New Roman" w:cs="Times New Roman"/>
          <w:sz w:val="28"/>
          <w:szCs w:val="28"/>
        </w:rPr>
        <w:t xml:space="preserve"> </w:t>
      </w:r>
      <w:r w:rsidRPr="005619FB">
        <w:rPr>
          <w:rFonts w:ascii="Times New Roman" w:hAnsi="Times New Roman" w:cs="Times New Roman"/>
          <w:sz w:val="28"/>
          <w:szCs w:val="28"/>
        </w:rPr>
        <w:t>«О мерах по реализации Указа Президента Российской Федерации от 28</w:t>
      </w:r>
      <w:r w:rsidR="00D26613" w:rsidRPr="005619FB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5619FB">
        <w:rPr>
          <w:rFonts w:ascii="Times New Roman" w:hAnsi="Times New Roman" w:cs="Times New Roman"/>
          <w:sz w:val="28"/>
          <w:szCs w:val="28"/>
        </w:rPr>
        <w:t xml:space="preserve">2008 г. № 607 «Об оценке </w:t>
      </w:r>
      <w:proofErr w:type="gramStart"/>
      <w:r w:rsidRPr="005619FB"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5619FB">
        <w:rPr>
          <w:rFonts w:ascii="Times New Roman" w:hAnsi="Times New Roman" w:cs="Times New Roman"/>
          <w:sz w:val="28"/>
          <w:szCs w:val="28"/>
        </w:rPr>
        <w:t xml:space="preserve"> и муниципальных районов»</w:t>
      </w:r>
      <w:r w:rsidR="00063DA4" w:rsidRPr="005619FB">
        <w:rPr>
          <w:rFonts w:ascii="Times New Roman" w:hAnsi="Times New Roman" w:cs="Times New Roman"/>
          <w:sz w:val="28"/>
          <w:szCs w:val="28"/>
        </w:rPr>
        <w:t>;</w:t>
      </w:r>
    </w:p>
    <w:p w:rsidR="007C2B8D" w:rsidRPr="005619FB" w:rsidRDefault="007C2B8D" w:rsidP="005619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9FB">
        <w:rPr>
          <w:rFonts w:ascii="Times New Roman" w:hAnsi="Times New Roman" w:cs="Times New Roman"/>
          <w:sz w:val="28"/>
          <w:szCs w:val="28"/>
        </w:rPr>
        <w:t>Указ Главы Республики Ин</w:t>
      </w:r>
      <w:r w:rsidR="00F65655" w:rsidRPr="005619FB">
        <w:rPr>
          <w:rFonts w:ascii="Times New Roman" w:hAnsi="Times New Roman" w:cs="Times New Roman"/>
          <w:sz w:val="28"/>
          <w:szCs w:val="28"/>
        </w:rPr>
        <w:t>гушетия от 26 мая 2014 г. № 100</w:t>
      </w:r>
      <w:r w:rsidR="007E4134" w:rsidRPr="005619FB">
        <w:rPr>
          <w:rFonts w:ascii="Times New Roman" w:hAnsi="Times New Roman" w:cs="Times New Roman"/>
          <w:sz w:val="28"/>
          <w:szCs w:val="28"/>
        </w:rPr>
        <w:t xml:space="preserve"> </w:t>
      </w:r>
      <w:r w:rsidRPr="005619FB">
        <w:rPr>
          <w:rFonts w:ascii="Times New Roman" w:hAnsi="Times New Roman" w:cs="Times New Roman"/>
          <w:sz w:val="28"/>
          <w:szCs w:val="28"/>
        </w:rPr>
        <w:t>«О порядке организации и проведения опроса оценки населением эффективности деятельности органов местного самоуправления в Республике Ингушетия с использование</w:t>
      </w:r>
      <w:r w:rsidR="007A1DA1">
        <w:rPr>
          <w:rFonts w:ascii="Times New Roman" w:hAnsi="Times New Roman" w:cs="Times New Roman"/>
          <w:sz w:val="28"/>
          <w:szCs w:val="28"/>
        </w:rPr>
        <w:t>м</w:t>
      </w:r>
      <w:r w:rsidRPr="005619FB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информационно-телекоммуникационных сетей и информационных технологий»</w:t>
      </w:r>
      <w:r w:rsidR="00063DA4" w:rsidRPr="005619FB">
        <w:rPr>
          <w:rFonts w:ascii="Times New Roman" w:hAnsi="Times New Roman" w:cs="Times New Roman"/>
          <w:i/>
          <w:sz w:val="28"/>
          <w:szCs w:val="28"/>
        </w:rPr>
        <w:t>;</w:t>
      </w:r>
    </w:p>
    <w:p w:rsidR="007C2B8D" w:rsidRPr="005619FB" w:rsidRDefault="005619FB" w:rsidP="005619FB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C2B8D" w:rsidRPr="005619FB">
        <w:rPr>
          <w:rFonts w:ascii="Times New Roman" w:hAnsi="Times New Roman" w:cs="Times New Roman"/>
          <w:sz w:val="28"/>
          <w:szCs w:val="28"/>
        </w:rPr>
        <w:t>аспоряжение Правите</w:t>
      </w:r>
      <w:r w:rsidR="00063DA4" w:rsidRPr="005619FB">
        <w:rPr>
          <w:rFonts w:ascii="Times New Roman" w:hAnsi="Times New Roman" w:cs="Times New Roman"/>
          <w:sz w:val="28"/>
          <w:szCs w:val="28"/>
        </w:rPr>
        <w:t>льства Республики Ингушетия от 26 декабря 2014 </w:t>
      </w:r>
      <w:r w:rsidR="007C2B8D" w:rsidRPr="005619FB">
        <w:rPr>
          <w:rFonts w:ascii="Times New Roman" w:hAnsi="Times New Roman" w:cs="Times New Roman"/>
          <w:sz w:val="28"/>
          <w:szCs w:val="28"/>
        </w:rPr>
        <w:t xml:space="preserve">г. № </w:t>
      </w:r>
      <w:r w:rsidR="00F76BDA" w:rsidRPr="005619FB">
        <w:rPr>
          <w:rFonts w:ascii="Times New Roman" w:hAnsi="Times New Roman" w:cs="Times New Roman"/>
          <w:sz w:val="28"/>
          <w:szCs w:val="28"/>
        </w:rPr>
        <w:t>1121-р об о</w:t>
      </w:r>
      <w:r w:rsidR="00F76BDA" w:rsidRPr="005619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пределении Министерства экономического развития Республики Ингушетия уполномоченным исполнительным органом государственной власти Республики Ингушетия по подготовке сводного доклада об оценке </w:t>
      </w:r>
      <w:proofErr w:type="gramStart"/>
      <w:r w:rsidR="00F76BDA" w:rsidRPr="005619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эффективности деятельности органов местного самоуправления городских округов</w:t>
      </w:r>
      <w:proofErr w:type="gramEnd"/>
      <w:r w:rsidR="00F76BDA" w:rsidRPr="005619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муниципальных районов Республики Ингушетия</w:t>
      </w:r>
      <w:r w:rsidR="007C2B8D" w:rsidRPr="005619FB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>.</w:t>
      </w:r>
    </w:p>
    <w:p w:rsidR="005619FB" w:rsidRPr="005619FB" w:rsidRDefault="005619FB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19FB" w:rsidRPr="00B866AF" w:rsidRDefault="00B866AF" w:rsidP="00B866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AF">
        <w:rPr>
          <w:rFonts w:ascii="Times New Roman" w:hAnsi="Times New Roman" w:cs="Times New Roman"/>
          <w:b/>
          <w:sz w:val="28"/>
          <w:szCs w:val="28"/>
        </w:rPr>
        <w:lastRenderedPageBreak/>
        <w:t>ОБЩАЯ ИНФОРМАЦИЯ О МУНИЦИПАЛЬНЫХ ОБРАЗОВАНИЯХ РЕСПУБЛИКИ ИНГУШЕТИЯ</w:t>
      </w:r>
    </w:p>
    <w:p w:rsidR="005619FB" w:rsidRPr="005619FB" w:rsidRDefault="005619FB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3477"/>
        <w:gridCol w:w="3477"/>
        <w:gridCol w:w="3477"/>
      </w:tblGrid>
      <w:tr w:rsidR="00B866AF" w:rsidRPr="00DC68B5" w:rsidTr="0067560B">
        <w:tc>
          <w:tcPr>
            <w:tcW w:w="3477" w:type="dxa"/>
          </w:tcPr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>Наименование муниципального образования</w:t>
            </w:r>
          </w:p>
        </w:tc>
        <w:tc>
          <w:tcPr>
            <w:tcW w:w="3477" w:type="dxa"/>
          </w:tcPr>
          <w:p w:rsid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 xml:space="preserve">Среднегодовая численность постоянного населения (2014 год), </w:t>
            </w:r>
          </w:p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>тыс. человек</w:t>
            </w:r>
          </w:p>
        </w:tc>
        <w:tc>
          <w:tcPr>
            <w:tcW w:w="3477" w:type="dxa"/>
          </w:tcPr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>Адрес официального сайта муниципального образования в сети «Интернет»</w:t>
            </w: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>Муниципальные районы</w:t>
            </w:r>
          </w:p>
        </w:tc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Назрановский район</w:t>
            </w:r>
          </w:p>
        </w:tc>
        <w:tc>
          <w:tcPr>
            <w:tcW w:w="3477" w:type="dxa"/>
          </w:tcPr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94,3</w:t>
            </w:r>
          </w:p>
        </w:tc>
        <w:tc>
          <w:tcPr>
            <w:tcW w:w="3477" w:type="dxa"/>
          </w:tcPr>
          <w:p w:rsidR="00B866AF" w:rsidRPr="00DC68B5" w:rsidRDefault="0067560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http://www.nazran-rayon.ru/</w:t>
            </w: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Сунженски</w:t>
            </w:r>
            <w:r w:rsidR="00AB153B" w:rsidRPr="00DC68B5">
              <w:rPr>
                <w:rFonts w:ascii="Times New Roman" w:hAnsi="Times New Roman" w:cs="Times New Roman"/>
                <w:b w:val="0"/>
                <w:color w:val="auto"/>
              </w:rPr>
              <w:t>й район</w:t>
            </w:r>
          </w:p>
        </w:tc>
        <w:tc>
          <w:tcPr>
            <w:tcW w:w="3477" w:type="dxa"/>
          </w:tcPr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119,7</w:t>
            </w:r>
          </w:p>
        </w:tc>
        <w:tc>
          <w:tcPr>
            <w:tcW w:w="3477" w:type="dxa"/>
          </w:tcPr>
          <w:p w:rsidR="00B866AF" w:rsidRPr="00DC68B5" w:rsidRDefault="0067560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http://sunja-ri.ru/</w:t>
            </w: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Малгобекский район</w:t>
            </w:r>
          </w:p>
        </w:tc>
        <w:tc>
          <w:tcPr>
            <w:tcW w:w="3477" w:type="dxa"/>
          </w:tcPr>
          <w:p w:rsidR="00B866AF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52,8</w:t>
            </w:r>
          </w:p>
        </w:tc>
        <w:tc>
          <w:tcPr>
            <w:tcW w:w="3477" w:type="dxa"/>
          </w:tcPr>
          <w:p w:rsidR="00B866AF" w:rsidRPr="00DC68B5" w:rsidRDefault="0067560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http://malgobek-rn.com/</w:t>
            </w: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Джейрахский район</w:t>
            </w:r>
          </w:p>
        </w:tc>
        <w:tc>
          <w:tcPr>
            <w:tcW w:w="3477" w:type="dxa"/>
          </w:tcPr>
          <w:p w:rsidR="00B866AF" w:rsidRPr="00DC68B5" w:rsidRDefault="00AB153B" w:rsidP="003B0FDB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3,</w:t>
            </w:r>
            <w:r w:rsidR="003B0FDB">
              <w:rPr>
                <w:rFonts w:ascii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3477" w:type="dxa"/>
          </w:tcPr>
          <w:p w:rsidR="00B866AF" w:rsidRPr="00DC68B5" w:rsidRDefault="0067560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http://jeyrah.ru/</w:t>
            </w:r>
          </w:p>
        </w:tc>
      </w:tr>
      <w:tr w:rsidR="00B866AF" w:rsidRPr="00DC68B5" w:rsidTr="0067560B">
        <w:tc>
          <w:tcPr>
            <w:tcW w:w="3477" w:type="dxa"/>
          </w:tcPr>
          <w:p w:rsidR="00B866AF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DC68B5">
              <w:rPr>
                <w:rFonts w:ascii="Times New Roman" w:hAnsi="Times New Roman" w:cs="Times New Roman"/>
                <w:color w:val="auto"/>
              </w:rPr>
              <w:t>Городские округа</w:t>
            </w:r>
          </w:p>
        </w:tc>
        <w:tc>
          <w:tcPr>
            <w:tcW w:w="3477" w:type="dxa"/>
          </w:tcPr>
          <w:p w:rsidR="00B866AF" w:rsidRPr="00DC68B5" w:rsidRDefault="00B866AF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77" w:type="dxa"/>
          </w:tcPr>
          <w:p w:rsidR="00B866AF" w:rsidRPr="00DC68B5" w:rsidRDefault="00B866AF" w:rsidP="00DC68B5">
            <w:pPr>
              <w:pStyle w:val="2"/>
              <w:outlineLvl w:val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B153B" w:rsidRPr="00DC68B5" w:rsidTr="0067560B">
        <w:tc>
          <w:tcPr>
            <w:tcW w:w="3477" w:type="dxa"/>
          </w:tcPr>
          <w:p w:rsidR="00AB153B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Город Магас</w:t>
            </w:r>
          </w:p>
        </w:tc>
        <w:tc>
          <w:tcPr>
            <w:tcW w:w="3477" w:type="dxa"/>
          </w:tcPr>
          <w:p w:rsidR="00AB153B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5,3</w:t>
            </w:r>
          </w:p>
        </w:tc>
        <w:tc>
          <w:tcPr>
            <w:tcW w:w="3477" w:type="dxa"/>
          </w:tcPr>
          <w:p w:rsidR="00AB153B" w:rsidRPr="00DC68B5" w:rsidRDefault="00DC68B5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http://www.adm-magas.ru/</w:t>
            </w:r>
          </w:p>
        </w:tc>
      </w:tr>
      <w:tr w:rsidR="00AB153B" w:rsidRPr="00DC68B5" w:rsidTr="0067560B">
        <w:tc>
          <w:tcPr>
            <w:tcW w:w="3477" w:type="dxa"/>
          </w:tcPr>
          <w:p w:rsidR="00AB153B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Город Назрань</w:t>
            </w:r>
          </w:p>
        </w:tc>
        <w:tc>
          <w:tcPr>
            <w:tcW w:w="3477" w:type="dxa"/>
          </w:tcPr>
          <w:p w:rsidR="00AB153B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107,5</w:t>
            </w:r>
          </w:p>
        </w:tc>
        <w:tc>
          <w:tcPr>
            <w:tcW w:w="3477" w:type="dxa"/>
          </w:tcPr>
          <w:p w:rsidR="00AB153B" w:rsidRPr="00DC68B5" w:rsidRDefault="000262E4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http://nazrangrad.ru/</w:t>
            </w:r>
          </w:p>
        </w:tc>
      </w:tr>
      <w:tr w:rsidR="00AB153B" w:rsidRPr="00DC68B5" w:rsidTr="0067560B">
        <w:tc>
          <w:tcPr>
            <w:tcW w:w="3477" w:type="dxa"/>
          </w:tcPr>
          <w:p w:rsidR="00AB153B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Город Малгобек</w:t>
            </w:r>
          </w:p>
        </w:tc>
        <w:tc>
          <w:tcPr>
            <w:tcW w:w="3477" w:type="dxa"/>
          </w:tcPr>
          <w:p w:rsidR="00AB153B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34,9</w:t>
            </w:r>
          </w:p>
        </w:tc>
        <w:tc>
          <w:tcPr>
            <w:tcW w:w="3477" w:type="dxa"/>
          </w:tcPr>
          <w:p w:rsidR="00AB153B" w:rsidRPr="00DC68B5" w:rsidRDefault="00DC68B5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http://malgobek.ru/</w:t>
            </w:r>
          </w:p>
        </w:tc>
      </w:tr>
      <w:tr w:rsidR="00AB153B" w:rsidRPr="00DC68B5" w:rsidTr="0067560B">
        <w:tc>
          <w:tcPr>
            <w:tcW w:w="3477" w:type="dxa"/>
          </w:tcPr>
          <w:p w:rsidR="00AB153B" w:rsidRPr="00DC68B5" w:rsidRDefault="00AB153B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Город Карабулак</w:t>
            </w:r>
          </w:p>
        </w:tc>
        <w:tc>
          <w:tcPr>
            <w:tcW w:w="3477" w:type="dxa"/>
          </w:tcPr>
          <w:p w:rsidR="00AB153B" w:rsidRPr="00DC68B5" w:rsidRDefault="00AB153B" w:rsidP="00DC68B5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38,1</w:t>
            </w:r>
          </w:p>
        </w:tc>
        <w:tc>
          <w:tcPr>
            <w:tcW w:w="3477" w:type="dxa"/>
          </w:tcPr>
          <w:p w:rsidR="00AB153B" w:rsidRPr="00DC68B5" w:rsidRDefault="00DC68B5" w:rsidP="00DC68B5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DC68B5">
              <w:rPr>
                <w:rFonts w:ascii="Times New Roman" w:hAnsi="Times New Roman" w:cs="Times New Roman"/>
                <w:b w:val="0"/>
                <w:color w:val="auto"/>
              </w:rPr>
              <w:t>http://www.mokarabulak.ru/</w:t>
            </w:r>
          </w:p>
        </w:tc>
      </w:tr>
    </w:tbl>
    <w:p w:rsidR="005619FB" w:rsidRDefault="005619FB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19FB" w:rsidRPr="005619FB" w:rsidRDefault="00FB7751" w:rsidP="00FB77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B7751">
        <w:rPr>
          <w:rFonts w:ascii="Times New Roman" w:hAnsi="Times New Roman" w:cs="Times New Roman"/>
          <w:b/>
          <w:sz w:val="28"/>
          <w:szCs w:val="28"/>
        </w:rPr>
        <w:t>ПОКАЗАТЕЛИ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</w:t>
      </w:r>
      <w:r w:rsidR="00FA761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ЭФФЕКТИВНОСТИ ДЕЯТЕЛЬНОСТИ </w:t>
      </w:r>
      <w:r w:rsidRPr="00B7552B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proofErr w:type="gramEnd"/>
    </w:p>
    <w:p w:rsidR="007C2B8D" w:rsidRDefault="007C2B8D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5593" w:rsidRDefault="005B5593" w:rsidP="00FB7751">
      <w:pPr>
        <w:autoSpaceDE w:val="0"/>
        <w:autoSpaceDN w:val="0"/>
        <w:adjustRightInd w:val="0"/>
        <w:spacing w:after="0"/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64C">
        <w:rPr>
          <w:rFonts w:ascii="Times New Roman" w:hAnsi="Times New Roman" w:cs="Times New Roman"/>
          <w:sz w:val="28"/>
          <w:szCs w:val="28"/>
        </w:rPr>
        <w:t>Оценка эффективности деятельности органов местного самоуправления пров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7A464C">
        <w:rPr>
          <w:rFonts w:ascii="Times New Roman" w:hAnsi="Times New Roman" w:cs="Times New Roman"/>
          <w:sz w:val="28"/>
          <w:szCs w:val="28"/>
        </w:rPr>
        <w:t xml:space="preserve"> по результата</w:t>
      </w:r>
      <w:r>
        <w:rPr>
          <w:rFonts w:ascii="Times New Roman" w:hAnsi="Times New Roman" w:cs="Times New Roman"/>
          <w:sz w:val="28"/>
          <w:szCs w:val="28"/>
        </w:rPr>
        <w:t>м достигнутого уровня и динамике</w:t>
      </w:r>
      <w:r w:rsidRPr="007A464C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по показателям, рекомендуемым федеральным законодательством</w:t>
      </w:r>
      <w:r w:rsidRPr="007A464C">
        <w:rPr>
          <w:rFonts w:ascii="Times New Roman" w:hAnsi="Times New Roman" w:cs="Times New Roman"/>
          <w:sz w:val="28"/>
          <w:szCs w:val="28"/>
        </w:rPr>
        <w:t>.</w:t>
      </w:r>
    </w:p>
    <w:p w:rsidR="000F43C8" w:rsidRDefault="007D272F" w:rsidP="000F43C8">
      <w:pPr>
        <w:autoSpaceDE w:val="0"/>
        <w:autoSpaceDN w:val="0"/>
        <w:adjustRightInd w:val="0"/>
        <w:spacing w:after="0"/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64C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7A464C"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Ингушетия по итогам 2014 года проведена по</w:t>
      </w:r>
      <w:r w:rsidR="005B5593">
        <w:rPr>
          <w:rFonts w:ascii="Times New Roman" w:hAnsi="Times New Roman" w:cs="Times New Roman"/>
          <w:sz w:val="28"/>
          <w:szCs w:val="28"/>
        </w:rPr>
        <w:t xml:space="preserve"> 13 показател</w:t>
      </w:r>
      <w:r w:rsidR="001A7FED">
        <w:rPr>
          <w:rFonts w:ascii="Times New Roman" w:hAnsi="Times New Roman" w:cs="Times New Roman"/>
          <w:sz w:val="28"/>
          <w:szCs w:val="28"/>
        </w:rPr>
        <w:t xml:space="preserve">ям. </w:t>
      </w:r>
    </w:p>
    <w:p w:rsidR="00AC6FA0" w:rsidRDefault="00AC6FA0" w:rsidP="00AC6FA0">
      <w:pPr>
        <w:autoSpaceDE w:val="0"/>
        <w:autoSpaceDN w:val="0"/>
        <w:adjustRightInd w:val="0"/>
        <w:spacing w:after="0"/>
        <w:ind w:right="-17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5593" w:rsidRPr="00AC6FA0" w:rsidRDefault="005B5593" w:rsidP="00AC6FA0">
      <w:pPr>
        <w:autoSpaceDE w:val="0"/>
        <w:autoSpaceDN w:val="0"/>
        <w:adjustRightInd w:val="0"/>
        <w:spacing w:after="0"/>
        <w:ind w:right="-172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6FA0">
        <w:rPr>
          <w:rFonts w:ascii="Times New Roman" w:hAnsi="Times New Roman" w:cs="Times New Roman"/>
          <w:b/>
          <w:sz w:val="28"/>
          <w:szCs w:val="28"/>
        </w:rPr>
        <w:t xml:space="preserve">13 показателей </w:t>
      </w:r>
      <w:proofErr w:type="gramStart"/>
      <w:r w:rsidRPr="00AC6FA0">
        <w:rPr>
          <w:rFonts w:ascii="Times New Roman" w:hAnsi="Times New Roman" w:cs="Times New Roman"/>
          <w:b/>
          <w:sz w:val="28"/>
          <w:szCs w:val="28"/>
        </w:rPr>
        <w:t>оценки</w:t>
      </w:r>
      <w:r w:rsidR="00C55CD4" w:rsidRPr="00AC6F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55CD4" w:rsidRPr="00AC6FA0">
        <w:rPr>
          <w:rFonts w:ascii="Times New Roman" w:hAnsi="Times New Roman" w:cs="Times New Roman"/>
          <w:b/>
          <w:sz w:val="28"/>
          <w:szCs w:val="28"/>
        </w:rPr>
        <w:t>эффективности деятельности органов местного самоуправления</w:t>
      </w:r>
      <w:proofErr w:type="gramEnd"/>
    </w:p>
    <w:p w:rsidR="00AC6FA0" w:rsidRDefault="00AC6FA0" w:rsidP="00FB7751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число субъектов малого и среднего предпринимательства в расчете на 10 тыс. человек населения;</w:t>
      </w:r>
    </w:p>
    <w:p w:rsidR="005B5593" w:rsidRPr="00C55CD4" w:rsidRDefault="005B5593" w:rsidP="00631765">
      <w:pPr>
        <w:autoSpaceDE w:val="0"/>
        <w:autoSpaceDN w:val="0"/>
        <w:adjustRightInd w:val="0"/>
        <w:spacing w:after="0" w:line="360" w:lineRule="auto"/>
        <w:ind w:right="13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CD4">
        <w:rPr>
          <w:rFonts w:ascii="Times New Roman" w:hAnsi="Times New Roman" w:cs="Times New Roman"/>
          <w:color w:val="000000" w:themeColor="text1"/>
          <w:sz w:val="28"/>
          <w:szCs w:val="28"/>
        </w:rPr>
        <w:t>объем инвестиций в основной капитал (за исключением бюджетных средств) в расчете на 1 жителя;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lastRenderedPageBreak/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 xml:space="preserve">доля прибыльных сельскохозяйственных </w:t>
      </w:r>
      <w:proofErr w:type="gramStart"/>
      <w:r w:rsidRPr="00C55CD4">
        <w:rPr>
          <w:color w:val="000000" w:themeColor="text1"/>
          <w:sz w:val="28"/>
          <w:szCs w:val="28"/>
        </w:rPr>
        <w:t>организаций</w:t>
      </w:r>
      <w:proofErr w:type="gramEnd"/>
      <w:r w:rsidRPr="00C55CD4">
        <w:rPr>
          <w:color w:val="000000" w:themeColor="text1"/>
          <w:sz w:val="28"/>
          <w:szCs w:val="28"/>
        </w:rPr>
        <w:t xml:space="preserve"> в общем их числе;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 xml:space="preserve"> уровень фактической обеспеченности учреждениями культуры от нормативной потребности: клубами и учреждениями клубного типа, библиотеками, парками культуры и отдыха;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доля населения, систематически занимающегося физической культурой и спортом;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общая площадь жилых помещений, приходящаяся в среднем на одного жителя, - всего;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населения, - всего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5B5593" w:rsidRPr="00C55CD4" w:rsidRDefault="005B5593" w:rsidP="00631765">
      <w:pPr>
        <w:pStyle w:val="ConsPlusCell"/>
        <w:spacing w:line="360" w:lineRule="auto"/>
        <w:ind w:right="132" w:firstLine="709"/>
        <w:jc w:val="both"/>
        <w:rPr>
          <w:color w:val="000000" w:themeColor="text1"/>
          <w:sz w:val="28"/>
          <w:szCs w:val="28"/>
        </w:rPr>
      </w:pPr>
      <w:r w:rsidRPr="00C55CD4">
        <w:rPr>
          <w:color w:val="000000" w:themeColor="text1"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5B5593" w:rsidRPr="007A464C" w:rsidRDefault="005B5593" w:rsidP="00631765">
      <w:pPr>
        <w:autoSpaceDE w:val="0"/>
        <w:autoSpaceDN w:val="0"/>
        <w:adjustRightInd w:val="0"/>
        <w:spacing w:after="0" w:line="360" w:lineRule="auto"/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64C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исходных данных для проведения </w:t>
      </w:r>
      <w:proofErr w:type="gramStart"/>
      <w:r w:rsidRPr="007A464C">
        <w:rPr>
          <w:rFonts w:ascii="Times New Roman" w:hAnsi="Times New Roman" w:cs="Times New Roman"/>
          <w:sz w:val="28"/>
          <w:szCs w:val="28"/>
        </w:rPr>
        <w:t>мониторинга эффек</w:t>
      </w:r>
      <w:r>
        <w:rPr>
          <w:rFonts w:ascii="Times New Roman" w:hAnsi="Times New Roman" w:cs="Times New Roman"/>
          <w:sz w:val="28"/>
          <w:szCs w:val="28"/>
        </w:rPr>
        <w:t xml:space="preserve">тивности деятельности органов </w:t>
      </w:r>
      <w:r w:rsidRPr="007A464C">
        <w:rPr>
          <w:rFonts w:ascii="Times New Roman" w:hAnsi="Times New Roman" w:cs="Times New Roman"/>
          <w:sz w:val="28"/>
          <w:szCs w:val="28"/>
        </w:rPr>
        <w:t>местн</w:t>
      </w:r>
      <w:r>
        <w:rPr>
          <w:rFonts w:ascii="Times New Roman" w:hAnsi="Times New Roman" w:cs="Times New Roman"/>
          <w:sz w:val="28"/>
          <w:szCs w:val="28"/>
        </w:rPr>
        <w:t>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FA0">
        <w:rPr>
          <w:rFonts w:ascii="Times New Roman" w:hAnsi="Times New Roman" w:cs="Times New Roman"/>
          <w:sz w:val="28"/>
          <w:szCs w:val="28"/>
        </w:rPr>
        <w:t>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64C">
        <w:rPr>
          <w:rFonts w:ascii="Times New Roman" w:hAnsi="Times New Roman" w:cs="Times New Roman"/>
          <w:sz w:val="28"/>
          <w:szCs w:val="28"/>
        </w:rPr>
        <w:t>официальные данные, содержащиеся в докладах глав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администраций муниципальных районов и городских округов</w:t>
      </w:r>
      <w:r w:rsidR="00BF4F3D">
        <w:rPr>
          <w:rFonts w:ascii="Times New Roman" w:hAnsi="Times New Roman" w:cs="Times New Roman"/>
          <w:sz w:val="28"/>
          <w:szCs w:val="28"/>
        </w:rPr>
        <w:t xml:space="preserve"> Республики Ингушетия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68B5" w:rsidRDefault="00DC68B5" w:rsidP="00FB77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8B5" w:rsidRDefault="00DA2C8F" w:rsidP="00DA2C8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C8F">
        <w:rPr>
          <w:rFonts w:ascii="Times New Roman" w:hAnsi="Times New Roman" w:cs="Times New Roman"/>
          <w:b/>
          <w:sz w:val="28"/>
          <w:szCs w:val="28"/>
        </w:rPr>
        <w:t>Ч</w:t>
      </w:r>
      <w:r w:rsidR="00AC6FA0" w:rsidRPr="00DA2C8F">
        <w:rPr>
          <w:rFonts w:ascii="Times New Roman" w:hAnsi="Times New Roman" w:cs="Times New Roman"/>
          <w:b/>
          <w:sz w:val="28"/>
          <w:szCs w:val="28"/>
        </w:rPr>
        <w:t>исло субъектов малого и среднего предпринимательства в расчете на 10 тыс. человек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(ед.)</w:t>
      </w:r>
    </w:p>
    <w:p w:rsidR="00EA7BCD" w:rsidRDefault="00EA7BCD" w:rsidP="00DA2C8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0" w:type="dxa"/>
        <w:tblInd w:w="96" w:type="dxa"/>
        <w:tblLayout w:type="fixed"/>
        <w:tblLook w:val="04A0"/>
      </w:tblPr>
      <w:tblGrid>
        <w:gridCol w:w="4123"/>
        <w:gridCol w:w="1772"/>
        <w:gridCol w:w="1772"/>
        <w:gridCol w:w="2693"/>
      </w:tblGrid>
      <w:tr w:rsidR="00631765" w:rsidRPr="00631765" w:rsidTr="003B3DBE">
        <w:trPr>
          <w:trHeight w:val="1200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631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-28,0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26,7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12,2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5,1</w:t>
            </w:r>
          </w:p>
        </w:tc>
      </w:tr>
      <w:tr w:rsidR="00631765" w:rsidRPr="00631765" w:rsidTr="003B3DBE">
        <w:trPr>
          <w:trHeight w:val="46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765" w:rsidRPr="00631765" w:rsidRDefault="00631765" w:rsidP="00631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1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7,1</w:t>
            </w:r>
          </w:p>
        </w:tc>
      </w:tr>
    </w:tbl>
    <w:p w:rsidR="00EA7BCD" w:rsidRDefault="00EA7BCD" w:rsidP="00EA7BC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A2C8F" w:rsidRDefault="00DA2C8F" w:rsidP="006317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2C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91250" cy="3032760"/>
            <wp:effectExtent l="19050" t="0" r="0" b="0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DA1" w:rsidRDefault="007A1DA1" w:rsidP="00DA2C8F">
      <w:pPr>
        <w:autoSpaceDE w:val="0"/>
        <w:autoSpaceDN w:val="0"/>
        <w:adjustRightInd w:val="0"/>
        <w:spacing w:after="0" w:line="240" w:lineRule="auto"/>
        <w:ind w:right="13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69D8" w:rsidRDefault="005369D8" w:rsidP="00DA2C8F">
      <w:pPr>
        <w:autoSpaceDE w:val="0"/>
        <w:autoSpaceDN w:val="0"/>
        <w:adjustRightInd w:val="0"/>
        <w:spacing w:after="0" w:line="240" w:lineRule="auto"/>
        <w:ind w:right="13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6FA0" w:rsidRPr="00DA2C8F" w:rsidRDefault="00DA2C8F" w:rsidP="00DA2C8F">
      <w:pPr>
        <w:autoSpaceDE w:val="0"/>
        <w:autoSpaceDN w:val="0"/>
        <w:adjustRightInd w:val="0"/>
        <w:spacing w:after="0" w:line="240" w:lineRule="auto"/>
        <w:ind w:right="13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2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</w:t>
      </w:r>
      <w:r w:rsidR="00AC6FA0" w:rsidRPr="00DA2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бъем инвестиций в основной капитал (за исключением бюджетных средств) в расчете на 1 жителя</w:t>
      </w:r>
      <w:r w:rsidRPr="00DA2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руб.</w:t>
      </w:r>
    </w:p>
    <w:p w:rsidR="00EF780A" w:rsidRDefault="00EF780A" w:rsidP="00AC6FA0">
      <w:pPr>
        <w:autoSpaceDE w:val="0"/>
        <w:autoSpaceDN w:val="0"/>
        <w:adjustRightInd w:val="0"/>
        <w:spacing w:after="0" w:line="240" w:lineRule="auto"/>
        <w:ind w:right="13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145" w:type="dxa"/>
        <w:tblInd w:w="96" w:type="dxa"/>
        <w:tblLayout w:type="fixed"/>
        <w:tblLook w:val="04A0"/>
      </w:tblPr>
      <w:tblGrid>
        <w:gridCol w:w="3980"/>
        <w:gridCol w:w="1760"/>
        <w:gridCol w:w="1760"/>
        <w:gridCol w:w="2645"/>
      </w:tblGrid>
      <w:tr w:rsidR="00CD34FC" w:rsidRPr="00CD34FC" w:rsidTr="003B3DBE">
        <w:trPr>
          <w:trHeight w:val="1296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5 382,2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5 670,0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5,3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57 818,3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198,3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17 013,6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2 976,7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-82,5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4 107,5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4 640,8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CD34FC" w:rsidRPr="00CD34FC" w:rsidTr="003B3DBE">
        <w:trPr>
          <w:trHeight w:val="504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12 650,0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13 043,0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</w:tr>
    </w:tbl>
    <w:p w:rsidR="001732D3" w:rsidRDefault="001732D3" w:rsidP="00AC6FA0">
      <w:pPr>
        <w:autoSpaceDE w:val="0"/>
        <w:autoSpaceDN w:val="0"/>
        <w:adjustRightInd w:val="0"/>
        <w:spacing w:after="0" w:line="240" w:lineRule="auto"/>
        <w:ind w:right="13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DBE" w:rsidRDefault="003B3DBE" w:rsidP="00AC6FA0">
      <w:pPr>
        <w:autoSpaceDE w:val="0"/>
        <w:autoSpaceDN w:val="0"/>
        <w:adjustRightInd w:val="0"/>
        <w:spacing w:after="0" w:line="240" w:lineRule="auto"/>
        <w:ind w:right="13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C8F" w:rsidRDefault="00C75F42" w:rsidP="00C75F42">
      <w:pPr>
        <w:pStyle w:val="ConsPlusCell"/>
        <w:tabs>
          <w:tab w:val="left" w:pos="8789"/>
        </w:tabs>
        <w:ind w:right="132"/>
        <w:jc w:val="both"/>
        <w:rPr>
          <w:color w:val="000000" w:themeColor="text1"/>
          <w:sz w:val="28"/>
          <w:szCs w:val="28"/>
        </w:rPr>
      </w:pPr>
      <w:r w:rsidRPr="00C75F42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541770" cy="3779520"/>
            <wp:effectExtent l="19050" t="0" r="0" b="0"/>
            <wp:docPr id="11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A2C8F" w:rsidRDefault="00DA2C8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DA2C8F" w:rsidRDefault="00DA2C8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AC6FA0" w:rsidRPr="00E35722" w:rsidRDefault="00C75F42" w:rsidP="00C75F42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E35722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E35722">
        <w:rPr>
          <w:b/>
          <w:color w:val="000000" w:themeColor="text1"/>
          <w:sz w:val="28"/>
          <w:szCs w:val="28"/>
        </w:rPr>
        <w:t>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  <w:r w:rsidRPr="00E35722">
        <w:rPr>
          <w:b/>
          <w:color w:val="000000" w:themeColor="text1"/>
          <w:sz w:val="28"/>
          <w:szCs w:val="28"/>
        </w:rPr>
        <w:t xml:space="preserve">, </w:t>
      </w:r>
      <w:r w:rsidR="00E35722" w:rsidRPr="00E35722">
        <w:rPr>
          <w:b/>
          <w:color w:val="000000" w:themeColor="text1"/>
          <w:sz w:val="28"/>
          <w:szCs w:val="28"/>
        </w:rPr>
        <w:t>процент</w:t>
      </w:r>
    </w:p>
    <w:p w:rsidR="00EF780A" w:rsidRDefault="00EF780A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tbl>
      <w:tblPr>
        <w:tblW w:w="10205" w:type="dxa"/>
        <w:tblInd w:w="96" w:type="dxa"/>
        <w:tblLayout w:type="fixed"/>
        <w:tblLook w:val="04A0"/>
      </w:tblPr>
      <w:tblGrid>
        <w:gridCol w:w="4280"/>
        <w:gridCol w:w="1640"/>
        <w:gridCol w:w="1640"/>
        <w:gridCol w:w="2645"/>
      </w:tblGrid>
      <w:tr w:rsidR="00CD34FC" w:rsidRPr="00CD34FC" w:rsidTr="003B3DBE">
        <w:trPr>
          <w:trHeight w:val="1248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-30,2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80,7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138,8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</w:tr>
      <w:tr w:rsidR="00CD34FC" w:rsidRPr="00CD34FC" w:rsidTr="003B3DBE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89,8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3B3DBE" w:rsidRDefault="00CD34FC" w:rsidP="003B3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1732D3" w:rsidRDefault="001732D3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1732D3" w:rsidRDefault="001732D3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E35722" w:rsidRDefault="00C5090F" w:rsidP="00E35722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C5090F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88430" cy="3970020"/>
            <wp:effectExtent l="19050" t="0" r="7620" b="0"/>
            <wp:docPr id="1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35722" w:rsidRDefault="00E3572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E35722" w:rsidRDefault="00E3572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AC6FA0" w:rsidRDefault="00C5090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70544E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70544E">
        <w:rPr>
          <w:b/>
          <w:color w:val="000000" w:themeColor="text1"/>
          <w:sz w:val="28"/>
          <w:szCs w:val="28"/>
        </w:rPr>
        <w:t xml:space="preserve">оля прибыльных сельскохозяйственных </w:t>
      </w:r>
      <w:proofErr w:type="gramStart"/>
      <w:r w:rsidR="00AC6FA0" w:rsidRPr="0070544E">
        <w:rPr>
          <w:b/>
          <w:color w:val="000000" w:themeColor="text1"/>
          <w:sz w:val="28"/>
          <w:szCs w:val="28"/>
        </w:rPr>
        <w:t>организаций</w:t>
      </w:r>
      <w:proofErr w:type="gramEnd"/>
      <w:r w:rsidR="00AC6FA0" w:rsidRPr="0070544E">
        <w:rPr>
          <w:b/>
          <w:color w:val="000000" w:themeColor="text1"/>
          <w:sz w:val="28"/>
          <w:szCs w:val="28"/>
        </w:rPr>
        <w:t xml:space="preserve"> в общем их числе</w:t>
      </w:r>
      <w:r w:rsidRPr="0070544E">
        <w:rPr>
          <w:b/>
          <w:color w:val="000000" w:themeColor="text1"/>
          <w:sz w:val="28"/>
          <w:szCs w:val="28"/>
        </w:rPr>
        <w:t>, процент</w:t>
      </w:r>
    </w:p>
    <w:p w:rsidR="00916222" w:rsidRDefault="00916222" w:rsidP="001732D3">
      <w:pPr>
        <w:pStyle w:val="ConsPlusCell"/>
        <w:ind w:right="132"/>
        <w:rPr>
          <w:b/>
          <w:color w:val="000000" w:themeColor="text1"/>
          <w:sz w:val="28"/>
          <w:szCs w:val="28"/>
        </w:rPr>
      </w:pPr>
    </w:p>
    <w:tbl>
      <w:tblPr>
        <w:tblW w:w="10218" w:type="dxa"/>
        <w:tblInd w:w="96" w:type="dxa"/>
        <w:tblLayout w:type="fixed"/>
        <w:tblLook w:val="04A0"/>
      </w:tblPr>
      <w:tblGrid>
        <w:gridCol w:w="3565"/>
        <w:gridCol w:w="1980"/>
        <w:gridCol w:w="1980"/>
        <w:gridCol w:w="2693"/>
      </w:tblGrid>
      <w:tr w:rsidR="00CD34FC" w:rsidRPr="00CD34FC" w:rsidTr="003B3DBE">
        <w:trPr>
          <w:trHeight w:val="1200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D3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-100,0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D34FC" w:rsidRPr="00CD34FC" w:rsidTr="003B3DBE">
        <w:trPr>
          <w:trHeight w:val="50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4FC" w:rsidRPr="00CD34FC" w:rsidRDefault="00CD34FC" w:rsidP="00CD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34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</w:tr>
    </w:tbl>
    <w:p w:rsidR="001732D3" w:rsidRDefault="001732D3" w:rsidP="001732D3">
      <w:pPr>
        <w:pStyle w:val="ConsPlusCell"/>
        <w:ind w:right="132"/>
        <w:rPr>
          <w:b/>
          <w:color w:val="000000" w:themeColor="text1"/>
          <w:sz w:val="28"/>
          <w:szCs w:val="28"/>
        </w:rPr>
      </w:pPr>
    </w:p>
    <w:p w:rsidR="001732D3" w:rsidRPr="0070544E" w:rsidRDefault="001732D3" w:rsidP="001732D3">
      <w:pPr>
        <w:pStyle w:val="ConsPlusCell"/>
        <w:ind w:right="132"/>
        <w:rPr>
          <w:b/>
          <w:color w:val="000000" w:themeColor="text1"/>
          <w:sz w:val="28"/>
          <w:szCs w:val="28"/>
        </w:rPr>
      </w:pPr>
    </w:p>
    <w:p w:rsidR="00EF780A" w:rsidRDefault="0070544E" w:rsidP="0070544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70544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88430" cy="3878580"/>
            <wp:effectExtent l="19050" t="0" r="7620" b="0"/>
            <wp:docPr id="13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16222" w:rsidRDefault="00916222" w:rsidP="00C5090F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</w:p>
    <w:p w:rsidR="001732D3" w:rsidRDefault="001732D3" w:rsidP="00C5090F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</w:p>
    <w:p w:rsidR="001732D3" w:rsidRDefault="001732D3" w:rsidP="00C5090F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</w:p>
    <w:p w:rsidR="001732D3" w:rsidRDefault="001732D3" w:rsidP="00C5090F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</w:p>
    <w:p w:rsidR="00AC6FA0" w:rsidRPr="00916222" w:rsidRDefault="00C5090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916222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916222">
        <w:rPr>
          <w:b/>
          <w:color w:val="000000" w:themeColor="text1"/>
          <w:sz w:val="28"/>
          <w:szCs w:val="28"/>
        </w:rPr>
        <w:t>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  <w:r w:rsidRPr="00916222">
        <w:rPr>
          <w:b/>
          <w:color w:val="000000" w:themeColor="text1"/>
          <w:sz w:val="28"/>
          <w:szCs w:val="28"/>
        </w:rPr>
        <w:t>, процент</w:t>
      </w:r>
    </w:p>
    <w:p w:rsidR="00EF780A" w:rsidRDefault="00EF780A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tbl>
      <w:tblPr>
        <w:tblW w:w="10292" w:type="dxa"/>
        <w:tblInd w:w="96" w:type="dxa"/>
        <w:tblLayout w:type="fixed"/>
        <w:tblLook w:val="04A0"/>
      </w:tblPr>
      <w:tblGrid>
        <w:gridCol w:w="4123"/>
        <w:gridCol w:w="1762"/>
        <w:gridCol w:w="1762"/>
        <w:gridCol w:w="2645"/>
      </w:tblGrid>
      <w:tr w:rsidR="00AC7939" w:rsidRPr="00AC7939" w:rsidTr="003B3DBE">
        <w:trPr>
          <w:trHeight w:val="123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46,5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29,7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12,9</w:t>
            </w:r>
          </w:p>
        </w:tc>
      </w:tr>
      <w:tr w:rsidR="00AC7939" w:rsidRPr="00AC7939" w:rsidTr="003B3DBE">
        <w:trPr>
          <w:trHeight w:val="50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42,9</w:t>
            </w:r>
          </w:p>
        </w:tc>
      </w:tr>
    </w:tbl>
    <w:p w:rsidR="001732D3" w:rsidRDefault="001732D3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855572" w:rsidRDefault="00855572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855572" w:rsidRDefault="00855572" w:rsidP="001732D3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EF780A" w:rsidRDefault="00860A69" w:rsidP="00916222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860A69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88430" cy="3779520"/>
            <wp:effectExtent l="19050" t="0" r="7620" b="0"/>
            <wp:docPr id="14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16222" w:rsidRDefault="00916222" w:rsidP="00860A69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</w:p>
    <w:p w:rsidR="00C5090F" w:rsidRPr="00860A69" w:rsidRDefault="00C5090F" w:rsidP="00860A69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  <w:r w:rsidRPr="00860A69">
        <w:rPr>
          <w:b/>
          <w:color w:val="000000" w:themeColor="text1"/>
          <w:sz w:val="28"/>
          <w:szCs w:val="28"/>
        </w:rPr>
        <w:lastRenderedPageBreak/>
        <w:t>У</w:t>
      </w:r>
      <w:r w:rsidR="00AC6FA0" w:rsidRPr="00860A69">
        <w:rPr>
          <w:b/>
          <w:color w:val="000000" w:themeColor="text1"/>
          <w:sz w:val="28"/>
          <w:szCs w:val="28"/>
        </w:rPr>
        <w:t>ровень фактической обеспеченности учреждениями культуры от нормативной потребности</w:t>
      </w:r>
      <w:r w:rsidRPr="00860A69">
        <w:rPr>
          <w:b/>
          <w:color w:val="000000" w:themeColor="text1"/>
          <w:sz w:val="28"/>
          <w:szCs w:val="28"/>
        </w:rPr>
        <w:t>, процент</w:t>
      </w:r>
    </w:p>
    <w:p w:rsidR="00C5090F" w:rsidRDefault="00C5090F" w:rsidP="00860A69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</w:p>
    <w:p w:rsidR="00C5090F" w:rsidRDefault="00C5090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</w:t>
      </w:r>
      <w:r w:rsidR="00AC6FA0" w:rsidRPr="00C55CD4">
        <w:rPr>
          <w:color w:val="000000" w:themeColor="text1"/>
          <w:sz w:val="28"/>
          <w:szCs w:val="28"/>
        </w:rPr>
        <w:t>лубами и учреждениями клубного типа</w:t>
      </w:r>
    </w:p>
    <w:p w:rsidR="00916222" w:rsidRDefault="0091622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tbl>
      <w:tblPr>
        <w:tblW w:w="10360" w:type="dxa"/>
        <w:tblInd w:w="96" w:type="dxa"/>
        <w:tblLayout w:type="fixed"/>
        <w:tblLook w:val="04A0"/>
      </w:tblPr>
      <w:tblGrid>
        <w:gridCol w:w="4265"/>
        <w:gridCol w:w="1630"/>
        <w:gridCol w:w="1630"/>
        <w:gridCol w:w="2835"/>
      </w:tblGrid>
      <w:tr w:rsidR="00AC7939" w:rsidRPr="00AC7939" w:rsidTr="003B3DBE">
        <w:trPr>
          <w:trHeight w:val="142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3B3DBE">
        <w:trPr>
          <w:trHeight w:val="40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855572" w:rsidRDefault="0085557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855572" w:rsidRDefault="0085557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855572" w:rsidRDefault="0085557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C5090F" w:rsidRDefault="00860A69" w:rsidP="00860A69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860A69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42710" cy="4114800"/>
            <wp:effectExtent l="19050" t="0" r="0" b="0"/>
            <wp:docPr id="15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B3DBE" w:rsidRDefault="003B3DBE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C5090F" w:rsidRDefault="00C5090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="00AC6FA0" w:rsidRPr="00C55CD4">
        <w:rPr>
          <w:color w:val="000000" w:themeColor="text1"/>
          <w:sz w:val="28"/>
          <w:szCs w:val="28"/>
        </w:rPr>
        <w:t>иблиотеками</w:t>
      </w:r>
    </w:p>
    <w:p w:rsidR="00916222" w:rsidRDefault="0091622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tbl>
      <w:tblPr>
        <w:tblW w:w="10218" w:type="dxa"/>
        <w:tblInd w:w="96" w:type="dxa"/>
        <w:tblLayout w:type="fixed"/>
        <w:tblLook w:val="04A0"/>
      </w:tblPr>
      <w:tblGrid>
        <w:gridCol w:w="3698"/>
        <w:gridCol w:w="1913"/>
        <w:gridCol w:w="1914"/>
        <w:gridCol w:w="2693"/>
      </w:tblGrid>
      <w:tr w:rsidR="00AC7939" w:rsidRPr="00AC7939" w:rsidTr="00544F9F">
        <w:trPr>
          <w:trHeight w:val="11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69,2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36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AC7939" w:rsidRDefault="00AC7939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C5090F" w:rsidRDefault="00860A69" w:rsidP="00860A69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860A69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252210" cy="3787140"/>
            <wp:effectExtent l="19050" t="0" r="0" b="0"/>
            <wp:docPr id="1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369D8" w:rsidRDefault="005369D8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AC6FA0" w:rsidRDefault="00C5090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AC6FA0" w:rsidRPr="00C55CD4">
        <w:rPr>
          <w:color w:val="000000" w:themeColor="text1"/>
          <w:sz w:val="28"/>
          <w:szCs w:val="28"/>
        </w:rPr>
        <w:t>арками культуры и отдыха</w:t>
      </w:r>
    </w:p>
    <w:p w:rsidR="00AC7939" w:rsidRPr="00C55CD4" w:rsidRDefault="00AC7939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tbl>
      <w:tblPr>
        <w:tblW w:w="10540" w:type="dxa"/>
        <w:tblInd w:w="96" w:type="dxa"/>
        <w:tblLook w:val="04A0"/>
      </w:tblPr>
      <w:tblGrid>
        <w:gridCol w:w="4840"/>
        <w:gridCol w:w="1660"/>
        <w:gridCol w:w="1520"/>
        <w:gridCol w:w="2645"/>
      </w:tblGrid>
      <w:tr w:rsidR="00AC7939" w:rsidRPr="00544F9F" w:rsidTr="00544F9F">
        <w:trPr>
          <w:trHeight w:val="1296"/>
          <w:tblHeader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AC7939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EF780A" w:rsidRDefault="00EF780A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860A69" w:rsidRDefault="00860A69" w:rsidP="00860A69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860A69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04610" cy="4122420"/>
            <wp:effectExtent l="19050" t="0" r="0" b="0"/>
            <wp:docPr id="17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60A69" w:rsidRDefault="00860A69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544F9F" w:rsidRDefault="00544F9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AC6FA0" w:rsidRDefault="00C5090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860A69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860A69">
        <w:rPr>
          <w:b/>
          <w:color w:val="000000" w:themeColor="text1"/>
          <w:sz w:val="28"/>
          <w:szCs w:val="28"/>
        </w:rPr>
        <w:t>оля населения, систематически занимающегося физической культурой и спортом</w:t>
      </w:r>
      <w:r w:rsidRPr="00860A69">
        <w:rPr>
          <w:b/>
          <w:color w:val="000000" w:themeColor="text1"/>
          <w:sz w:val="28"/>
          <w:szCs w:val="28"/>
        </w:rPr>
        <w:t>, процент</w:t>
      </w:r>
    </w:p>
    <w:p w:rsidR="00AC7939" w:rsidRDefault="00AC7939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tbl>
      <w:tblPr>
        <w:tblW w:w="10292" w:type="dxa"/>
        <w:tblInd w:w="96" w:type="dxa"/>
        <w:tblLayout w:type="fixed"/>
        <w:tblLook w:val="04A0"/>
      </w:tblPr>
      <w:tblGrid>
        <w:gridCol w:w="4265"/>
        <w:gridCol w:w="1691"/>
        <w:gridCol w:w="1691"/>
        <w:gridCol w:w="2645"/>
      </w:tblGrid>
      <w:tr w:rsidR="00AC7939" w:rsidRPr="00544F9F" w:rsidTr="00544F9F">
        <w:trPr>
          <w:trHeight w:val="108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26,6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19,1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36,4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16,7</w:t>
            </w:r>
          </w:p>
        </w:tc>
      </w:tr>
      <w:tr w:rsidR="00AC7939" w:rsidRPr="00544F9F" w:rsidTr="00544F9F">
        <w:trPr>
          <w:trHeight w:val="50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916222" w:rsidRDefault="00916222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p w:rsidR="00544F9F" w:rsidRDefault="00544F9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p w:rsidR="00544F9F" w:rsidRPr="00860A69" w:rsidRDefault="00544F9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p w:rsidR="00EF780A" w:rsidRPr="00860A69" w:rsidRDefault="00860A69" w:rsidP="00860A69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  <w:r w:rsidRPr="00860A69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6404610" cy="3886200"/>
            <wp:effectExtent l="19050" t="0" r="0" b="0"/>
            <wp:docPr id="18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E7F0E" w:rsidRDefault="00BE7F0E" w:rsidP="00C5090F">
      <w:pPr>
        <w:pStyle w:val="ConsPlusCell"/>
        <w:ind w:right="132" w:firstLine="709"/>
        <w:jc w:val="center"/>
        <w:rPr>
          <w:color w:val="000000" w:themeColor="text1"/>
          <w:sz w:val="28"/>
          <w:szCs w:val="28"/>
        </w:rPr>
      </w:pPr>
    </w:p>
    <w:p w:rsidR="00544F9F" w:rsidRDefault="00544F9F" w:rsidP="00C5090F">
      <w:pPr>
        <w:pStyle w:val="ConsPlusCell"/>
        <w:ind w:right="132" w:firstLine="709"/>
        <w:jc w:val="center"/>
        <w:rPr>
          <w:color w:val="000000" w:themeColor="text1"/>
          <w:sz w:val="28"/>
          <w:szCs w:val="28"/>
        </w:rPr>
      </w:pPr>
    </w:p>
    <w:p w:rsidR="00AC6FA0" w:rsidRDefault="00C5090F" w:rsidP="00C5090F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  <w:r w:rsidRPr="00BE7F0E">
        <w:rPr>
          <w:b/>
          <w:color w:val="000000" w:themeColor="text1"/>
          <w:sz w:val="28"/>
          <w:szCs w:val="28"/>
        </w:rPr>
        <w:lastRenderedPageBreak/>
        <w:t>О</w:t>
      </w:r>
      <w:r w:rsidR="00AC6FA0" w:rsidRPr="00BE7F0E">
        <w:rPr>
          <w:b/>
          <w:color w:val="000000" w:themeColor="text1"/>
          <w:sz w:val="28"/>
          <w:szCs w:val="28"/>
        </w:rPr>
        <w:t>бщая площадь жилых помещений, приходящаяся в среднем на одного жителя</w:t>
      </w:r>
      <w:r w:rsidRPr="00BE7F0E">
        <w:rPr>
          <w:b/>
          <w:color w:val="000000" w:themeColor="text1"/>
          <w:sz w:val="28"/>
          <w:szCs w:val="28"/>
        </w:rPr>
        <w:t>, кв. м</w:t>
      </w:r>
    </w:p>
    <w:p w:rsidR="00AC7939" w:rsidRDefault="00AC7939" w:rsidP="00C5090F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W w:w="10340" w:type="dxa"/>
        <w:tblInd w:w="96" w:type="dxa"/>
        <w:tblLook w:val="04A0"/>
      </w:tblPr>
      <w:tblGrid>
        <w:gridCol w:w="3920"/>
        <w:gridCol w:w="1820"/>
        <w:gridCol w:w="1940"/>
        <w:gridCol w:w="2660"/>
      </w:tblGrid>
      <w:tr w:rsidR="00AC7939" w:rsidRPr="00544F9F" w:rsidTr="00AC7939">
        <w:trPr>
          <w:trHeight w:val="1308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14,5</w:t>
            </w:r>
          </w:p>
        </w:tc>
      </w:tr>
      <w:tr w:rsidR="00AC7939" w:rsidRPr="00544F9F" w:rsidTr="00544F9F">
        <w:trPr>
          <w:trHeight w:val="504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40,4</w:t>
            </w:r>
          </w:p>
        </w:tc>
      </w:tr>
    </w:tbl>
    <w:p w:rsidR="00BE7F0E" w:rsidRDefault="00BE7F0E" w:rsidP="00C5090F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</w:p>
    <w:p w:rsidR="00544F9F" w:rsidRDefault="00544F9F" w:rsidP="00C5090F">
      <w:pPr>
        <w:pStyle w:val="ConsPlusCell"/>
        <w:ind w:right="132" w:firstLine="709"/>
        <w:jc w:val="center"/>
        <w:rPr>
          <w:b/>
          <w:color w:val="000000" w:themeColor="text1"/>
          <w:sz w:val="28"/>
          <w:szCs w:val="28"/>
        </w:rPr>
      </w:pPr>
    </w:p>
    <w:p w:rsidR="00EF780A" w:rsidRDefault="00BE7F0E" w:rsidP="00860A69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BE7F0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04610" cy="4137660"/>
            <wp:effectExtent l="19050" t="0" r="0" b="0"/>
            <wp:docPr id="19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60A69" w:rsidRDefault="00860A69" w:rsidP="00860A69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AC6FA0" w:rsidRPr="00BE7F0E" w:rsidRDefault="00C5090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BE7F0E">
        <w:rPr>
          <w:b/>
          <w:color w:val="000000" w:themeColor="text1"/>
          <w:sz w:val="28"/>
          <w:szCs w:val="28"/>
        </w:rPr>
        <w:lastRenderedPageBreak/>
        <w:t>П</w:t>
      </w:r>
      <w:r w:rsidR="00AC6FA0" w:rsidRPr="00BE7F0E">
        <w:rPr>
          <w:b/>
          <w:color w:val="000000" w:themeColor="text1"/>
          <w:sz w:val="28"/>
          <w:szCs w:val="28"/>
        </w:rPr>
        <w:t xml:space="preserve">лощадь земельных участков, предоставленных для строительства в расчете на 10 тыс. человек населения, </w:t>
      </w:r>
      <w:r w:rsidRPr="00BE7F0E">
        <w:rPr>
          <w:b/>
          <w:color w:val="000000" w:themeColor="text1"/>
          <w:sz w:val="28"/>
          <w:szCs w:val="28"/>
        </w:rPr>
        <w:t>гектаров</w:t>
      </w:r>
    </w:p>
    <w:p w:rsidR="00C5090F" w:rsidRDefault="00C5090F" w:rsidP="00BE7F0E">
      <w:pPr>
        <w:pStyle w:val="ConsPlusCell"/>
        <w:ind w:right="132"/>
        <w:rPr>
          <w:color w:val="000000" w:themeColor="text1"/>
          <w:sz w:val="28"/>
          <w:szCs w:val="28"/>
        </w:rPr>
      </w:pPr>
    </w:p>
    <w:tbl>
      <w:tblPr>
        <w:tblW w:w="10502" w:type="dxa"/>
        <w:tblInd w:w="96" w:type="dxa"/>
        <w:tblLook w:val="04A0"/>
      </w:tblPr>
      <w:tblGrid>
        <w:gridCol w:w="3840"/>
        <w:gridCol w:w="2126"/>
        <w:gridCol w:w="1701"/>
        <w:gridCol w:w="2835"/>
      </w:tblGrid>
      <w:tr w:rsidR="00AC7939" w:rsidRPr="00AC7939" w:rsidTr="00AC7939">
        <w:trPr>
          <w:trHeight w:val="165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AC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-92,6</w:t>
            </w: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4074,6</w:t>
            </w: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AC7939" w:rsidTr="00544F9F">
        <w:trPr>
          <w:trHeight w:val="5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AC7939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7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-47,6</w:t>
            </w:r>
          </w:p>
        </w:tc>
      </w:tr>
    </w:tbl>
    <w:p w:rsidR="00AC7939" w:rsidRDefault="00AC7939" w:rsidP="00BE7F0E">
      <w:pPr>
        <w:pStyle w:val="ConsPlusCell"/>
        <w:ind w:right="132"/>
        <w:rPr>
          <w:color w:val="000000" w:themeColor="text1"/>
          <w:sz w:val="28"/>
          <w:szCs w:val="28"/>
        </w:rPr>
      </w:pPr>
    </w:p>
    <w:p w:rsidR="00544F9F" w:rsidRDefault="00544F9F" w:rsidP="00BE7F0E">
      <w:pPr>
        <w:pStyle w:val="ConsPlusCell"/>
        <w:ind w:right="132"/>
        <w:rPr>
          <w:color w:val="000000" w:themeColor="text1"/>
          <w:sz w:val="28"/>
          <w:szCs w:val="28"/>
        </w:rPr>
      </w:pPr>
    </w:p>
    <w:p w:rsidR="00C5090F" w:rsidRDefault="00BE7F0E" w:rsidP="00BE7F0E">
      <w:pPr>
        <w:pStyle w:val="ConsPlusCell"/>
        <w:ind w:right="132"/>
        <w:rPr>
          <w:color w:val="000000" w:themeColor="text1"/>
          <w:sz w:val="28"/>
          <w:szCs w:val="28"/>
        </w:rPr>
      </w:pPr>
      <w:r w:rsidRPr="00BE7F0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04610" cy="3802380"/>
            <wp:effectExtent l="19050" t="0" r="0" b="0"/>
            <wp:docPr id="20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5090F" w:rsidRDefault="00C5090F" w:rsidP="00BE7F0E">
      <w:pPr>
        <w:pStyle w:val="ConsPlusCell"/>
        <w:ind w:right="132"/>
        <w:rPr>
          <w:color w:val="000000" w:themeColor="text1"/>
          <w:sz w:val="28"/>
          <w:szCs w:val="28"/>
        </w:rPr>
      </w:pPr>
    </w:p>
    <w:p w:rsidR="00916222" w:rsidRDefault="00916222" w:rsidP="00BE7F0E">
      <w:pPr>
        <w:pStyle w:val="ConsPlusCell"/>
        <w:ind w:right="132"/>
        <w:rPr>
          <w:color w:val="000000" w:themeColor="text1"/>
          <w:sz w:val="28"/>
          <w:szCs w:val="28"/>
        </w:rPr>
      </w:pPr>
    </w:p>
    <w:p w:rsidR="00AC6FA0" w:rsidRPr="00916222" w:rsidRDefault="00C5090F" w:rsidP="00C5090F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916222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916222">
        <w:rPr>
          <w:b/>
          <w:color w:val="000000" w:themeColor="text1"/>
          <w:sz w:val="28"/>
          <w:szCs w:val="28"/>
        </w:rPr>
        <w:t>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  <w:r w:rsidRPr="00916222">
        <w:rPr>
          <w:b/>
          <w:color w:val="000000" w:themeColor="text1"/>
          <w:sz w:val="28"/>
          <w:szCs w:val="28"/>
        </w:rPr>
        <w:t>, процент</w:t>
      </w:r>
    </w:p>
    <w:p w:rsidR="00AC387E" w:rsidRDefault="00AC387E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tbl>
      <w:tblPr>
        <w:tblW w:w="10523" w:type="dxa"/>
        <w:tblInd w:w="96" w:type="dxa"/>
        <w:tblLook w:val="04A0"/>
      </w:tblPr>
      <w:tblGrid>
        <w:gridCol w:w="3414"/>
        <w:gridCol w:w="2409"/>
        <w:gridCol w:w="2055"/>
        <w:gridCol w:w="2645"/>
      </w:tblGrid>
      <w:tr w:rsidR="00AC7939" w:rsidRPr="00544F9F" w:rsidTr="00AC7939">
        <w:trPr>
          <w:trHeight w:val="103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-100,0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36,2</w:t>
            </w:r>
          </w:p>
        </w:tc>
      </w:tr>
      <w:tr w:rsidR="00AC7939" w:rsidRPr="00544F9F" w:rsidTr="00544F9F">
        <w:trPr>
          <w:trHeight w:val="5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AC7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34,0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939" w:rsidRPr="00544F9F" w:rsidRDefault="00AC7939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194,1</w:t>
            </w:r>
          </w:p>
        </w:tc>
      </w:tr>
    </w:tbl>
    <w:p w:rsidR="00AC7939" w:rsidRDefault="00AC7939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AC7939" w:rsidRDefault="00AC7939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544F9F" w:rsidRDefault="00544F9F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BE7F0E" w:rsidRDefault="00BE7F0E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  <w:r w:rsidRPr="00BE7F0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404610" cy="3893820"/>
            <wp:effectExtent l="19050" t="0" r="0" b="0"/>
            <wp:docPr id="21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44F9F" w:rsidRDefault="00544F9F" w:rsidP="00916222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p w:rsidR="00AC6FA0" w:rsidRPr="00916222" w:rsidRDefault="00C5090F" w:rsidP="00916222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916222">
        <w:rPr>
          <w:b/>
          <w:color w:val="000000" w:themeColor="text1"/>
          <w:sz w:val="28"/>
          <w:szCs w:val="28"/>
        </w:rPr>
        <w:lastRenderedPageBreak/>
        <w:t>Д</w:t>
      </w:r>
      <w:r w:rsidR="00AC6FA0" w:rsidRPr="00916222">
        <w:rPr>
          <w:b/>
          <w:color w:val="000000" w:themeColor="text1"/>
          <w:sz w:val="28"/>
          <w:szCs w:val="28"/>
        </w:rPr>
        <w:t>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 w:rsidRPr="00916222">
        <w:rPr>
          <w:b/>
          <w:color w:val="000000" w:themeColor="text1"/>
          <w:sz w:val="28"/>
          <w:szCs w:val="28"/>
        </w:rPr>
        <w:t>, процент</w:t>
      </w:r>
    </w:p>
    <w:p w:rsidR="00AC387E" w:rsidRDefault="00AC387E" w:rsidP="00BE7F0E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</w:p>
    <w:p w:rsidR="00544F9F" w:rsidRDefault="00544F9F" w:rsidP="00BE7F0E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</w:p>
    <w:tbl>
      <w:tblPr>
        <w:tblW w:w="10245" w:type="dxa"/>
        <w:tblInd w:w="96" w:type="dxa"/>
        <w:tblLayout w:type="fixed"/>
        <w:tblLook w:val="04A0"/>
      </w:tblPr>
      <w:tblGrid>
        <w:gridCol w:w="3940"/>
        <w:gridCol w:w="1830"/>
        <w:gridCol w:w="1830"/>
        <w:gridCol w:w="2645"/>
      </w:tblGrid>
      <w:tr w:rsidR="00060573" w:rsidRPr="00544F9F" w:rsidTr="00544F9F">
        <w:trPr>
          <w:trHeight w:val="1212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2013 год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4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Динамика (прирост/снижение (-), %</w:t>
            </w:r>
            <w:proofErr w:type="gramEnd"/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53,5</w:t>
            </w: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12,5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57,3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54,1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-5,6</w:t>
            </w: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81,1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81,5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060573" w:rsidRPr="00544F9F" w:rsidTr="00544F9F">
        <w:trPr>
          <w:trHeight w:val="504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060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35,1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73" w:rsidRPr="00544F9F" w:rsidRDefault="00060573" w:rsidP="0054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4F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-26,7</w:t>
            </w:r>
          </w:p>
        </w:tc>
      </w:tr>
    </w:tbl>
    <w:p w:rsidR="00AC7939" w:rsidRDefault="00AC7939" w:rsidP="00BE7F0E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</w:p>
    <w:p w:rsidR="00AC7939" w:rsidRPr="00916222" w:rsidRDefault="00AC7939" w:rsidP="00BE7F0E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</w:p>
    <w:p w:rsidR="00BE7F0E" w:rsidRPr="00BE7F0E" w:rsidRDefault="00BE7F0E" w:rsidP="00BE7F0E">
      <w:pPr>
        <w:pStyle w:val="ConsPlusCell"/>
        <w:ind w:right="132"/>
        <w:jc w:val="both"/>
        <w:rPr>
          <w:b/>
          <w:color w:val="000000" w:themeColor="text1"/>
          <w:sz w:val="28"/>
          <w:szCs w:val="28"/>
        </w:rPr>
      </w:pPr>
      <w:r w:rsidRPr="00BE7F0E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6343650" cy="3840480"/>
            <wp:effectExtent l="19050" t="0" r="0" b="0"/>
            <wp:docPr id="22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F0E" w:rsidRDefault="00BE7F0E" w:rsidP="00BE7F0E">
      <w:pPr>
        <w:pStyle w:val="ConsPlusCell"/>
        <w:ind w:right="132"/>
        <w:jc w:val="both"/>
        <w:rPr>
          <w:color w:val="000000" w:themeColor="text1"/>
          <w:sz w:val="28"/>
          <w:szCs w:val="28"/>
        </w:rPr>
      </w:pPr>
    </w:p>
    <w:p w:rsidR="00AC6FA0" w:rsidRPr="00BE7F0E" w:rsidRDefault="00C5090F" w:rsidP="00BE7F0E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  <w:r w:rsidRPr="00BE7F0E">
        <w:rPr>
          <w:b/>
          <w:color w:val="000000" w:themeColor="text1"/>
          <w:sz w:val="28"/>
          <w:szCs w:val="28"/>
        </w:rPr>
        <w:lastRenderedPageBreak/>
        <w:t>Н</w:t>
      </w:r>
      <w:r w:rsidR="00AC6FA0" w:rsidRPr="00BE7F0E">
        <w:rPr>
          <w:b/>
          <w:color w:val="000000" w:themeColor="text1"/>
          <w:sz w:val="28"/>
          <w:szCs w:val="28"/>
        </w:rPr>
        <w:t>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BE7F0E" w:rsidRPr="00C55CD4" w:rsidRDefault="00BE7F0E" w:rsidP="00E55996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</w:p>
    <w:tbl>
      <w:tblPr>
        <w:tblW w:w="10100" w:type="dxa"/>
        <w:tblInd w:w="96" w:type="dxa"/>
        <w:tblLook w:val="04A0"/>
      </w:tblPr>
      <w:tblGrid>
        <w:gridCol w:w="4840"/>
        <w:gridCol w:w="5260"/>
      </w:tblGrid>
      <w:tr w:rsidR="00BE7F0E" w:rsidRPr="00BE7F0E" w:rsidTr="00916222">
        <w:trPr>
          <w:trHeight w:val="1402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Назрановский район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Сунженский район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Малгобекский район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Джейрахский район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Магас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Назрань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Малгобек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  <w:tr w:rsidR="00BE7F0E" w:rsidRPr="00BE7F0E" w:rsidTr="00BE7F0E">
        <w:trPr>
          <w:trHeight w:val="504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F0E" w:rsidRPr="00BE7F0E" w:rsidRDefault="00BE7F0E" w:rsidP="00BE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Карабулак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0E" w:rsidRPr="00BE7F0E" w:rsidRDefault="00BE7F0E" w:rsidP="00BE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Имеется</w:t>
            </w:r>
          </w:p>
        </w:tc>
      </w:tr>
    </w:tbl>
    <w:p w:rsidR="00060573" w:rsidRDefault="00060573" w:rsidP="00BE7F0E">
      <w:pPr>
        <w:pStyle w:val="ConsPlusCell"/>
        <w:ind w:right="132"/>
        <w:jc w:val="center"/>
        <w:rPr>
          <w:b/>
          <w:color w:val="000000" w:themeColor="text1"/>
          <w:sz w:val="28"/>
          <w:szCs w:val="28"/>
        </w:rPr>
      </w:pPr>
    </w:p>
    <w:p w:rsidR="00AC6FA0" w:rsidRDefault="00C5090F" w:rsidP="00BE7F0E">
      <w:pPr>
        <w:pStyle w:val="ConsPlusCell"/>
        <w:ind w:right="132"/>
        <w:jc w:val="center"/>
        <w:rPr>
          <w:color w:val="000000" w:themeColor="text1"/>
          <w:sz w:val="28"/>
          <w:szCs w:val="28"/>
        </w:rPr>
      </w:pPr>
      <w:r w:rsidRPr="00BE7F0E">
        <w:rPr>
          <w:b/>
          <w:color w:val="000000" w:themeColor="text1"/>
          <w:sz w:val="28"/>
          <w:szCs w:val="28"/>
        </w:rPr>
        <w:t>У</w:t>
      </w:r>
      <w:r w:rsidR="00AC6FA0" w:rsidRPr="00BE7F0E">
        <w:rPr>
          <w:b/>
          <w:color w:val="000000" w:themeColor="text1"/>
          <w:sz w:val="28"/>
          <w:szCs w:val="28"/>
        </w:rPr>
        <w:t>довлетворенность населения деятельностью органов местного самоуправления городского округа (муниципального района)</w:t>
      </w:r>
    </w:p>
    <w:p w:rsidR="00916222" w:rsidRDefault="00916222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</w:p>
    <w:p w:rsidR="00C5090F" w:rsidRPr="00C55CD4" w:rsidRDefault="00C5090F" w:rsidP="00AC6FA0">
      <w:pPr>
        <w:pStyle w:val="ConsPlusCell"/>
        <w:ind w:right="13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представлены в следующем разделе</w:t>
      </w:r>
      <w:r w:rsidR="00E50E93">
        <w:rPr>
          <w:color w:val="000000" w:themeColor="text1"/>
          <w:sz w:val="28"/>
          <w:szCs w:val="28"/>
        </w:rPr>
        <w:t xml:space="preserve">. </w:t>
      </w:r>
    </w:p>
    <w:p w:rsidR="00AC6FA0" w:rsidRDefault="00AC6FA0" w:rsidP="00AC6FA0">
      <w:pPr>
        <w:autoSpaceDE w:val="0"/>
        <w:autoSpaceDN w:val="0"/>
        <w:adjustRightInd w:val="0"/>
        <w:spacing w:after="0"/>
        <w:ind w:right="-17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6FA0" w:rsidRDefault="00AC6FA0" w:rsidP="00AC6FA0">
      <w:pPr>
        <w:autoSpaceDE w:val="0"/>
        <w:autoSpaceDN w:val="0"/>
        <w:adjustRightInd w:val="0"/>
        <w:spacing w:after="0"/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8B5" w:rsidRPr="00DC68B5" w:rsidRDefault="00DC68B5" w:rsidP="00DC68B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C68B5">
        <w:rPr>
          <w:rFonts w:ascii="Times New Roman" w:hAnsi="Times New Roman"/>
          <w:b/>
          <w:sz w:val="28"/>
          <w:szCs w:val="28"/>
        </w:rPr>
        <w:t>РЕЗУЛЬТАТЫ ПРОВЕДЕНИЯ ОПРОСА ОЦЕНКИ НАСЕЛЕНИЕМ ЭФФЕКТИВНОСТИ ДЕЯТЕЛЬНОСТИ РУКОВОДИТЕЛЕЙ ОРГАНОВ МЕСТНОГО САМОУПРАВЛЕНИЯ В РЕСПУБЛИКЕ ИНГУШЕТИЯ С ИСПОЛЬЗОВАНИЕМ ИНФОРМАЦИОННО</w:t>
      </w:r>
      <w:r>
        <w:rPr>
          <w:rFonts w:ascii="Times New Roman" w:hAnsi="Times New Roman"/>
          <w:b/>
          <w:sz w:val="28"/>
          <w:szCs w:val="28"/>
        </w:rPr>
        <w:t>-</w:t>
      </w:r>
      <w:r w:rsidRPr="00DC68B5">
        <w:rPr>
          <w:rFonts w:ascii="Times New Roman" w:hAnsi="Times New Roman"/>
          <w:b/>
          <w:sz w:val="28"/>
          <w:szCs w:val="28"/>
        </w:rPr>
        <w:t>ТЕЛЕКОММУНИКАЦИОННЫХ СЕТЕЙ И ИНФОРМАЦИОННЫХ ТЕХНОЛОГИЙ</w:t>
      </w:r>
      <w:r w:rsidRPr="00DC68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68B5" w:rsidRDefault="00DC68B5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14E7" w:rsidRPr="004326D2" w:rsidRDefault="001514E7" w:rsidP="001514E7">
      <w:pPr>
        <w:tabs>
          <w:tab w:val="left" w:pos="123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Опрос населения проводился </w:t>
      </w:r>
      <w:r w:rsidRPr="004326D2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4326D2">
        <w:rPr>
          <w:rFonts w:ascii="Times New Roman" w:hAnsi="Times New Roman"/>
          <w:sz w:val="28"/>
          <w:szCs w:val="28"/>
        </w:rPr>
        <w:t xml:space="preserve">орядком организации и проведения опроса оценки населением эффективности </w:t>
      </w:r>
      <w:proofErr w:type="gramStart"/>
      <w:r w:rsidRPr="004326D2">
        <w:rPr>
          <w:rFonts w:ascii="Times New Roman" w:hAnsi="Times New Roman"/>
          <w:sz w:val="28"/>
          <w:szCs w:val="28"/>
        </w:rPr>
        <w:t>деятельности руководителей о</w:t>
      </w:r>
      <w:r>
        <w:rPr>
          <w:rFonts w:ascii="Times New Roman" w:hAnsi="Times New Roman"/>
          <w:sz w:val="28"/>
          <w:szCs w:val="28"/>
        </w:rPr>
        <w:t xml:space="preserve">рганов местного самоуправления </w:t>
      </w:r>
      <w:r w:rsidRPr="004326D2">
        <w:rPr>
          <w:rFonts w:ascii="Times New Roman" w:hAnsi="Times New Roman"/>
          <w:sz w:val="28"/>
          <w:szCs w:val="28"/>
        </w:rPr>
        <w:t>Республики</w:t>
      </w:r>
      <w:proofErr w:type="gramEnd"/>
      <w:r w:rsidRPr="004326D2">
        <w:rPr>
          <w:rFonts w:ascii="Times New Roman" w:hAnsi="Times New Roman"/>
          <w:sz w:val="28"/>
          <w:szCs w:val="28"/>
        </w:rPr>
        <w:t xml:space="preserve"> Ингушетия с использованием информационно-телекоммуникационных сетей и информационных технологий,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4326D2">
        <w:rPr>
          <w:rFonts w:ascii="Times New Roman" w:hAnsi="Times New Roman"/>
          <w:sz w:val="28"/>
          <w:szCs w:val="28"/>
        </w:rPr>
        <w:t xml:space="preserve"> Указом Главы Республики Ингушетия от 26</w:t>
      </w:r>
      <w:r w:rsidR="007A1DA1">
        <w:rPr>
          <w:rFonts w:ascii="Times New Roman" w:hAnsi="Times New Roman"/>
          <w:sz w:val="28"/>
          <w:szCs w:val="28"/>
        </w:rPr>
        <w:t xml:space="preserve"> мая </w:t>
      </w:r>
      <w:r w:rsidRPr="004326D2">
        <w:rPr>
          <w:rFonts w:ascii="Times New Roman" w:hAnsi="Times New Roman"/>
          <w:sz w:val="28"/>
          <w:szCs w:val="28"/>
        </w:rPr>
        <w:t>2014 г. № 100.</w:t>
      </w:r>
    </w:p>
    <w:p w:rsidR="001514E7" w:rsidRPr="004326D2" w:rsidRDefault="001514E7" w:rsidP="001514E7">
      <w:pPr>
        <w:tabs>
          <w:tab w:val="left" w:pos="12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На федеральном уровне проведение опроса населения регламентируется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остановлени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ем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Правительства Российской Федерации от 17 декабря 2012 г. №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 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1317 «О мерах по реализации Указа Президента Российской Федерации от 28 апреля 2008</w:t>
      </w:r>
      <w:r w:rsidR="00FA761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 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г. № 607 «Об оценке </w:t>
      </w:r>
      <w:proofErr w:type="gramStart"/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эффективности деятельности органов местного самоуправления городских округов</w:t>
      </w:r>
      <w:proofErr w:type="gramEnd"/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 муниципальных районов» (далее –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остановление № 1317).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326D2">
        <w:rPr>
          <w:rFonts w:ascii="Times New Roman" w:hAnsi="Times New Roman"/>
          <w:sz w:val="28"/>
          <w:szCs w:val="28"/>
        </w:rPr>
        <w:t xml:space="preserve">В рамках проведенной работы на официальном сайте Правительства Республики Ингушетия размещена социологическая анкета «Оценка населением результатов деятельности органов местного самоуправления городских округов и муниципальных районов Республики Ингушетия», соответствующая следующим критериям оценки, установленным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остановлением № 1317: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организацией транспортного обслуживания;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качеством автомобильных дорог;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качеством водоснабжения (водоотведения);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качеством электроснабжения;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качеством газоснабжения;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удовлетворенность населения </w:t>
      </w:r>
      <w:r w:rsidRPr="004326D2">
        <w:rPr>
          <w:rFonts w:ascii="Times New Roman" w:hAnsi="Times New Roman"/>
          <w:bCs/>
          <w:color w:val="000000"/>
          <w:sz w:val="28"/>
          <w:szCs w:val="28"/>
        </w:rPr>
        <w:t>деятельностью главы местной администрации в целом.</w:t>
      </w:r>
    </w:p>
    <w:p w:rsidR="001514E7" w:rsidRPr="004326D2" w:rsidRDefault="001514E7" w:rsidP="001514E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6D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Также размещены гиперссылки на вышеуказанную анкету на официальных сайтах администраций муниципальных образований Республики Ингушетия и на официальном сайте Минэкономразвития Ингушетии.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В опросе населения с использованием </w:t>
      </w:r>
      <w:r w:rsidRPr="004326D2">
        <w:rPr>
          <w:rFonts w:ascii="Times New Roman" w:hAnsi="Times New Roman"/>
          <w:sz w:val="28"/>
          <w:szCs w:val="28"/>
        </w:rPr>
        <w:t xml:space="preserve">информационно-телекоммуникационных 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технологий приняли участие 167 человек, из них 114 </w:t>
      </w:r>
      <w:r>
        <w:rPr>
          <w:rFonts w:ascii="Times New Roman" w:hAnsi="Times New Roman"/>
          <w:bCs/>
          <w:sz w:val="28"/>
          <w:szCs w:val="28"/>
          <w:lang w:eastAsia="en-US"/>
        </w:rPr>
        <w:t>мужчин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, 53  </w:t>
      </w:r>
      <w:r>
        <w:rPr>
          <w:rFonts w:ascii="Times New Roman" w:hAnsi="Times New Roman"/>
          <w:bCs/>
          <w:sz w:val="28"/>
          <w:szCs w:val="28"/>
          <w:lang w:eastAsia="en-US"/>
        </w:rPr>
        <w:t>женщины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sz w:val="28"/>
          <w:szCs w:val="28"/>
        </w:rPr>
        <w:t>За основу приняты данные анкетирования за период с 1 февраля по 31 марта 2015 года.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>Наиболее высокие уровни удовлетворенности населени</w:t>
      </w:r>
      <w:r>
        <w:rPr>
          <w:rFonts w:ascii="Times New Roman" w:hAnsi="Times New Roman"/>
          <w:bCs/>
          <w:sz w:val="28"/>
          <w:szCs w:val="28"/>
          <w:lang w:eastAsia="en-US"/>
        </w:rPr>
        <w:t>я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деятельностью </w:t>
      </w:r>
      <w:r>
        <w:rPr>
          <w:rFonts w:ascii="Times New Roman" w:hAnsi="Times New Roman"/>
          <w:bCs/>
          <w:sz w:val="28"/>
          <w:szCs w:val="28"/>
          <w:lang w:eastAsia="en-US"/>
        </w:rPr>
        <w:t>г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>лавы местной администрации выявлены в Малгобекском муниципальном районе (98,2 %), г. Малгобеке (90,9 %) и г. Магасе (75 %). Наименьший уровень удовлетворенности наблюдается в Сунженском муниципальном районе (25 %).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proofErr w:type="gramStart"/>
      <w:r w:rsidRPr="004326D2">
        <w:rPr>
          <w:rFonts w:ascii="Times New Roman" w:hAnsi="Times New Roman"/>
          <w:bCs/>
          <w:sz w:val="28"/>
          <w:szCs w:val="28"/>
          <w:lang w:eastAsia="en-US"/>
        </w:rPr>
        <w:lastRenderedPageBreak/>
        <w:t>Удовлетворенность организацией транспортного обслуживания на территории Малгобекского района оценена на уровне 92 %, Сунженско</w:t>
      </w:r>
      <w:r>
        <w:rPr>
          <w:rFonts w:ascii="Times New Roman" w:hAnsi="Times New Roman"/>
          <w:bCs/>
          <w:sz w:val="28"/>
          <w:szCs w:val="28"/>
          <w:lang w:eastAsia="en-US"/>
        </w:rPr>
        <w:t>го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и Назрановско</w:t>
      </w:r>
      <w:r>
        <w:rPr>
          <w:rFonts w:ascii="Times New Roman" w:hAnsi="Times New Roman"/>
          <w:bCs/>
          <w:sz w:val="28"/>
          <w:szCs w:val="28"/>
          <w:lang w:eastAsia="en-US"/>
        </w:rPr>
        <w:t>го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район</w:t>
      </w:r>
      <w:r>
        <w:rPr>
          <w:rFonts w:ascii="Times New Roman" w:hAnsi="Times New Roman"/>
          <w:bCs/>
          <w:sz w:val="28"/>
          <w:szCs w:val="28"/>
          <w:lang w:eastAsia="en-US"/>
        </w:rPr>
        <w:t>ов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- 75,0 % и 70 % соответственно.</w:t>
      </w:r>
      <w:proofErr w:type="gramEnd"/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Наименьший уровень удовлетворенности организацией транспортного обслуживания составил по  </w:t>
      </w:r>
      <w:proofErr w:type="gramStart"/>
      <w:r w:rsidRPr="004326D2">
        <w:rPr>
          <w:rFonts w:ascii="Times New Roman" w:hAnsi="Times New Roman"/>
          <w:bCs/>
          <w:sz w:val="28"/>
          <w:szCs w:val="28"/>
          <w:lang w:eastAsia="en-US"/>
        </w:rPr>
        <w:t>г</w:t>
      </w:r>
      <w:proofErr w:type="gramEnd"/>
      <w:r w:rsidRPr="004326D2">
        <w:rPr>
          <w:rFonts w:ascii="Times New Roman" w:hAnsi="Times New Roman"/>
          <w:bCs/>
          <w:sz w:val="28"/>
          <w:szCs w:val="28"/>
          <w:lang w:eastAsia="en-US"/>
        </w:rPr>
        <w:t>.</w:t>
      </w:r>
      <w:r>
        <w:rPr>
          <w:rFonts w:ascii="Times New Roman" w:hAnsi="Times New Roman"/>
          <w:bCs/>
          <w:sz w:val="28"/>
          <w:szCs w:val="28"/>
          <w:lang w:eastAsia="en-US"/>
        </w:rPr>
        <w:t> 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>Магасу (37,5 %) и Джейрахском</w:t>
      </w:r>
      <w:r>
        <w:rPr>
          <w:rFonts w:ascii="Times New Roman" w:hAnsi="Times New Roman"/>
          <w:bCs/>
          <w:sz w:val="28"/>
          <w:szCs w:val="28"/>
          <w:lang w:eastAsia="en-US"/>
        </w:rPr>
        <w:t>у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район</w:t>
      </w:r>
      <w:r>
        <w:rPr>
          <w:rFonts w:ascii="Times New Roman" w:hAnsi="Times New Roman"/>
          <w:bCs/>
          <w:sz w:val="28"/>
          <w:szCs w:val="28"/>
          <w:lang w:eastAsia="en-US"/>
        </w:rPr>
        <w:t>у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(0 %).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>Наиболее удовлетворены качеством автомобильных дорог участники соцопроса, проживающие на территории Малгобекского, Сунженского муниципальных районов и г. Малгобек</w:t>
      </w:r>
      <w:r>
        <w:rPr>
          <w:rFonts w:ascii="Times New Roman" w:hAnsi="Times New Roman"/>
          <w:bCs/>
          <w:sz w:val="28"/>
          <w:szCs w:val="28"/>
          <w:lang w:eastAsia="en-US"/>
        </w:rPr>
        <w:t>а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, показатели </w:t>
      </w:r>
      <w:proofErr w:type="gramStart"/>
      <w:r w:rsidRPr="004326D2">
        <w:rPr>
          <w:rFonts w:ascii="Times New Roman" w:hAnsi="Times New Roman"/>
          <w:bCs/>
          <w:sz w:val="28"/>
          <w:szCs w:val="28"/>
          <w:lang w:eastAsia="en-US"/>
        </w:rPr>
        <w:t>уровня</w:t>
      </w:r>
      <w:proofErr w:type="gramEnd"/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удовлетворенности которых составили 91,3 %, 75,0 % и 72,7 % соответственно. 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Низкий уровень удовлетворенности качеством дорог по результатам опроса выявлен в </w:t>
      </w:r>
      <w:proofErr w:type="gramStart"/>
      <w:r w:rsidRPr="004326D2">
        <w:rPr>
          <w:rFonts w:ascii="Times New Roman" w:hAnsi="Times New Roman"/>
          <w:bCs/>
          <w:sz w:val="28"/>
          <w:szCs w:val="28"/>
          <w:lang w:eastAsia="en-US"/>
        </w:rPr>
        <w:t>г</w:t>
      </w:r>
      <w:proofErr w:type="gramEnd"/>
      <w:r w:rsidRPr="004326D2">
        <w:rPr>
          <w:rFonts w:ascii="Times New Roman" w:hAnsi="Times New Roman"/>
          <w:bCs/>
          <w:sz w:val="28"/>
          <w:szCs w:val="28"/>
          <w:lang w:eastAsia="en-US"/>
        </w:rPr>
        <w:t>. Карабулаке (0 %)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Максимальные уровни удовлетворенности организацией водоснабжения (водоотведения) наблюдаются по Малгобекскому муниципальному району (93,9 %), г. Малгобеку (81,8 %) и г. Карабулаку </w:t>
      </w:r>
      <w:r>
        <w:rPr>
          <w:rFonts w:ascii="Times New Roman" w:hAnsi="Times New Roman"/>
          <w:bCs/>
          <w:sz w:val="28"/>
          <w:szCs w:val="28"/>
          <w:lang w:eastAsia="en-US"/>
        </w:rPr>
        <w:t>(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>75 %).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>Минимальный уровень удовлетворенности организацией водоснабжения (водоотведения) полу</w:t>
      </w:r>
      <w:r>
        <w:rPr>
          <w:rFonts w:ascii="Times New Roman" w:hAnsi="Times New Roman"/>
          <w:bCs/>
          <w:sz w:val="28"/>
          <w:szCs w:val="28"/>
          <w:lang w:eastAsia="en-US"/>
        </w:rPr>
        <w:t>чен по Сунженскому району (50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 %). 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>Сложился следующий уровень удовлетворенности организацией электроснабжения: Назрановский муниципальный район (100</w:t>
      </w:r>
      <w:r>
        <w:rPr>
          <w:rFonts w:ascii="Times New Roman" w:hAnsi="Times New Roman"/>
          <w:bCs/>
          <w:sz w:val="28"/>
          <w:szCs w:val="28"/>
          <w:lang w:eastAsia="en-US"/>
        </w:rPr>
        <w:t> 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%), Малгобекский муниципальный район (93 %). В </w:t>
      </w:r>
      <w:proofErr w:type="gramStart"/>
      <w:r w:rsidRPr="004326D2">
        <w:rPr>
          <w:rFonts w:ascii="Times New Roman" w:hAnsi="Times New Roman"/>
          <w:bCs/>
          <w:sz w:val="28"/>
          <w:szCs w:val="28"/>
          <w:lang w:eastAsia="en-US"/>
        </w:rPr>
        <w:t>г</w:t>
      </w:r>
      <w:proofErr w:type="gramEnd"/>
      <w:r w:rsidRPr="004326D2">
        <w:rPr>
          <w:rFonts w:ascii="Times New Roman" w:hAnsi="Times New Roman"/>
          <w:bCs/>
          <w:sz w:val="28"/>
          <w:szCs w:val="28"/>
          <w:lang w:eastAsia="en-US"/>
        </w:rPr>
        <w:t>. Назран</w:t>
      </w:r>
      <w:r>
        <w:rPr>
          <w:rFonts w:ascii="Times New Roman" w:hAnsi="Times New Roman"/>
          <w:bCs/>
          <w:sz w:val="28"/>
          <w:szCs w:val="28"/>
          <w:lang w:eastAsia="en-US"/>
        </w:rPr>
        <w:t>и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 данный показатель составил 50 %.</w:t>
      </w:r>
    </w:p>
    <w:p w:rsidR="001514E7" w:rsidRPr="004326D2" w:rsidRDefault="001514E7" w:rsidP="001514E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326D2">
        <w:rPr>
          <w:rFonts w:ascii="Times New Roman" w:hAnsi="Times New Roman"/>
          <w:bCs/>
          <w:sz w:val="28"/>
          <w:szCs w:val="28"/>
          <w:lang w:eastAsia="en-US"/>
        </w:rPr>
        <w:t xml:space="preserve">В результате проведенного опроса выявлено, что респонденты наиболее удовлетворены организацией газоснабжения – Назрановский, Сунженский, Малгобекский муниципальные районы, а также города Карабулак и Малгобек показывают </w:t>
      </w:r>
      <w:r w:rsidR="007A1DA1">
        <w:rPr>
          <w:rFonts w:ascii="Times New Roman" w:hAnsi="Times New Roman"/>
          <w:bCs/>
          <w:sz w:val="28"/>
          <w:szCs w:val="28"/>
          <w:lang w:eastAsia="en-US"/>
        </w:rPr>
        <w:t>сто</w:t>
      </w:r>
      <w:r w:rsidRPr="004326D2">
        <w:rPr>
          <w:rFonts w:ascii="Times New Roman" w:hAnsi="Times New Roman"/>
          <w:bCs/>
          <w:sz w:val="28"/>
          <w:szCs w:val="28"/>
          <w:lang w:eastAsia="en-US"/>
        </w:rPr>
        <w:t>процентную удовлетворенность населения.</w:t>
      </w:r>
    </w:p>
    <w:p w:rsidR="001514E7" w:rsidRDefault="001514E7" w:rsidP="001514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4BB">
        <w:rPr>
          <w:rFonts w:ascii="Times New Roman" w:hAnsi="Times New Roman"/>
          <w:sz w:val="28"/>
          <w:szCs w:val="28"/>
        </w:rPr>
        <w:t>Подробные данные приведены в прилагаем</w:t>
      </w:r>
      <w:r>
        <w:rPr>
          <w:rFonts w:ascii="Times New Roman" w:hAnsi="Times New Roman"/>
          <w:sz w:val="28"/>
          <w:szCs w:val="28"/>
        </w:rPr>
        <w:t>ых таблицах.</w:t>
      </w:r>
    </w:p>
    <w:p w:rsidR="001514E7" w:rsidRDefault="001514E7" w:rsidP="005619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5DDA" w:rsidRDefault="000B5DDA" w:rsidP="001514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  <w:sectPr w:rsidR="000B5DDA" w:rsidSect="007A1DA1">
          <w:footerReference w:type="default" r:id="rId24"/>
          <w:pgSz w:w="11906" w:h="16838"/>
          <w:pgMar w:top="1134" w:right="851" w:bottom="1276" w:left="840" w:header="425" w:footer="709" w:gutter="0"/>
          <w:cols w:space="708"/>
          <w:titlePg/>
          <w:docGrid w:linePitch="360"/>
        </w:sectPr>
      </w:pPr>
    </w:p>
    <w:p w:rsidR="001514E7" w:rsidRPr="001514E7" w:rsidRDefault="001514E7" w:rsidP="000B5D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E7">
        <w:rPr>
          <w:rFonts w:ascii="Times New Roman" w:hAnsi="Times New Roman" w:cs="Times New Roman"/>
          <w:b/>
          <w:sz w:val="28"/>
          <w:szCs w:val="28"/>
        </w:rPr>
        <w:lastRenderedPageBreak/>
        <w:t>Сводная таблица</w:t>
      </w:r>
    </w:p>
    <w:p w:rsidR="001514E7" w:rsidRDefault="001514E7" w:rsidP="000B5DDA">
      <w:pPr>
        <w:pStyle w:val="a3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</w:pPr>
      <w:r w:rsidRPr="001514E7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 xml:space="preserve">по итогам </w:t>
      </w:r>
      <w:proofErr w:type="gramStart"/>
      <w:r w:rsidRPr="001514E7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>оценки степени удовлетворенности</w:t>
      </w:r>
      <w:r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 xml:space="preserve"> </w:t>
      </w:r>
      <w:r w:rsidRPr="001514E7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>населения Республики</w:t>
      </w:r>
      <w:proofErr w:type="gramEnd"/>
      <w:r w:rsidRPr="001514E7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 xml:space="preserve"> Ингушетия</w:t>
      </w:r>
      <w:r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 xml:space="preserve"> </w:t>
      </w:r>
      <w:r w:rsidRPr="001514E7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  <w:t>деятельностью органов местного самоуправления</w:t>
      </w:r>
    </w:p>
    <w:p w:rsidR="001514E7" w:rsidRDefault="001514E7" w:rsidP="001514E7">
      <w:pPr>
        <w:pStyle w:val="a3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8"/>
        <w:gridCol w:w="9096"/>
      </w:tblGrid>
      <w:tr w:rsidR="000B5DDA" w:rsidTr="000B5DDA">
        <w:tc>
          <w:tcPr>
            <w:tcW w:w="7322" w:type="dxa"/>
          </w:tcPr>
          <w:tbl>
            <w:tblPr>
              <w:tblStyle w:val="a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03"/>
              <w:gridCol w:w="2219"/>
            </w:tblGrid>
            <w:tr w:rsidR="000B5DDA" w:rsidRPr="001514E7" w:rsidTr="000B5DDA">
              <w:trPr>
                <w:trHeight w:val="775"/>
              </w:trPr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Наименование оцениваемого критерия</w:t>
                  </w:r>
                </w:p>
              </w:tc>
              <w:tc>
                <w:tcPr>
                  <w:tcW w:w="2977" w:type="dxa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Процент от числа </w:t>
                  </w:r>
                  <w:proofErr w:type="gramStart"/>
                  <w:r w:rsidRPr="001514E7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опрошенных</w:t>
                  </w:r>
                  <w:proofErr w:type="gramEnd"/>
                </w:p>
              </w:tc>
            </w:tr>
            <w:tr w:rsidR="000B5DDA" w:rsidRPr="001514E7" w:rsidTr="000B5DDA"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outlineLvl w:val="1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Удовлетворенность организацией транспортного обслуживания</w:t>
                  </w:r>
                </w:p>
              </w:tc>
              <w:tc>
                <w:tcPr>
                  <w:tcW w:w="2977" w:type="dxa"/>
                  <w:vAlign w:val="center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84,4</w:t>
                  </w:r>
                </w:p>
              </w:tc>
            </w:tr>
            <w:tr w:rsidR="000B5DDA" w:rsidRPr="001514E7" w:rsidTr="000B5DDA"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outlineLvl w:val="1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Удовлетворенность качеством автомобильных дорог</w:t>
                  </w:r>
                </w:p>
              </w:tc>
              <w:tc>
                <w:tcPr>
                  <w:tcW w:w="2977" w:type="dxa"/>
                  <w:vAlign w:val="center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77,2</w:t>
                  </w:r>
                </w:p>
              </w:tc>
            </w:tr>
            <w:tr w:rsidR="000B5DDA" w:rsidRPr="001514E7" w:rsidTr="000B5DDA"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outlineLvl w:val="1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Удовлетворенность уровнем организации водоснабжения (водоотведения)</w:t>
                  </w:r>
                </w:p>
              </w:tc>
              <w:tc>
                <w:tcPr>
                  <w:tcW w:w="2977" w:type="dxa"/>
                  <w:vAlign w:val="center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74,3</w:t>
                  </w:r>
                </w:p>
              </w:tc>
            </w:tr>
            <w:tr w:rsidR="000B5DDA" w:rsidRPr="001514E7" w:rsidTr="000B5DDA"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outlineLvl w:val="1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Удовлетворенность уровнем организации электроснабжения</w:t>
                  </w:r>
                </w:p>
              </w:tc>
              <w:tc>
                <w:tcPr>
                  <w:tcW w:w="2977" w:type="dxa"/>
                  <w:vAlign w:val="center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71,2</w:t>
                  </w:r>
                </w:p>
              </w:tc>
            </w:tr>
            <w:tr w:rsidR="000B5DDA" w:rsidRPr="001514E7" w:rsidTr="000B5DDA">
              <w:tc>
                <w:tcPr>
                  <w:tcW w:w="4219" w:type="dxa"/>
                </w:tcPr>
                <w:p w:rsidR="000B5DDA" w:rsidRPr="001514E7" w:rsidRDefault="000B5DDA" w:rsidP="00EF780A">
                  <w:pPr>
                    <w:pStyle w:val="2"/>
                    <w:outlineLvl w:val="1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Удовлетворенность уровнем организации газоснабжения</w:t>
                  </w:r>
                </w:p>
              </w:tc>
              <w:tc>
                <w:tcPr>
                  <w:tcW w:w="2977" w:type="dxa"/>
                  <w:vAlign w:val="center"/>
                </w:tcPr>
                <w:p w:rsidR="000B5DDA" w:rsidRPr="001514E7" w:rsidRDefault="000B5DDA" w:rsidP="00EF780A">
                  <w:pPr>
                    <w:pStyle w:val="2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1514E7">
                    <w:rPr>
                      <w:rFonts w:ascii="Times New Roman" w:eastAsia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70,7</w:t>
                  </w:r>
                </w:p>
              </w:tc>
            </w:tr>
          </w:tbl>
          <w:p w:rsidR="000B5DDA" w:rsidRDefault="000B5DDA" w:rsidP="001514E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kern w:val="36"/>
                <w:sz w:val="28"/>
                <w:szCs w:val="28"/>
              </w:rPr>
            </w:pPr>
          </w:p>
          <w:p w:rsidR="000B5DDA" w:rsidRDefault="000B5DDA" w:rsidP="000B5DD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7322" w:type="dxa"/>
          </w:tcPr>
          <w:p w:rsidR="000B5DDA" w:rsidRPr="000B5DDA" w:rsidRDefault="000B5DDA" w:rsidP="000B5DD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kern w:val="36"/>
                <w:sz w:val="28"/>
                <w:szCs w:val="28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kern w:val="36"/>
                <w:sz w:val="28"/>
                <w:szCs w:val="28"/>
              </w:rPr>
              <w:t>Степень удовлетворенности населения Республики Ингушетия деятельностью органов местного самоуправления, %</w:t>
            </w:r>
          </w:p>
          <w:p w:rsidR="000B5DDA" w:rsidRDefault="000B5DDA" w:rsidP="001514E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kern w:val="36"/>
                <w:sz w:val="28"/>
                <w:szCs w:val="28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iCs/>
                <w:noProof/>
                <w:color w:val="000000" w:themeColor="text1"/>
                <w:kern w:val="36"/>
                <w:sz w:val="28"/>
                <w:szCs w:val="28"/>
              </w:rPr>
              <w:drawing>
                <wp:inline distT="0" distB="0" distL="0" distR="0">
                  <wp:extent cx="5619750" cy="4457700"/>
                  <wp:effectExtent l="19050" t="0" r="0" b="0"/>
                  <wp:docPr id="6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</w:tc>
      </w:tr>
    </w:tbl>
    <w:p w:rsidR="001514E7" w:rsidRPr="001514E7" w:rsidRDefault="001514E7" w:rsidP="001514E7">
      <w:pPr>
        <w:pStyle w:val="a3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</w:rPr>
      </w:pPr>
    </w:p>
    <w:p w:rsidR="001514E7" w:rsidRDefault="000B5DDA" w:rsidP="000B5DD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5D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Сводные результаты опроса населения об оценке </w:t>
      </w:r>
      <w:proofErr w:type="gramStart"/>
      <w:r w:rsidRPr="000B5DDA">
        <w:rPr>
          <w:rFonts w:ascii="Times New Roman" w:eastAsia="Times New Roman" w:hAnsi="Times New Roman" w:cs="Times New Roman"/>
          <w:b/>
          <w:sz w:val="28"/>
          <w:szCs w:val="28"/>
        </w:rPr>
        <w:t>эффективности деятельности руководителей органов местного самоуправления Республики</w:t>
      </w:r>
      <w:proofErr w:type="gramEnd"/>
      <w:r w:rsidRPr="000B5DDA">
        <w:rPr>
          <w:rFonts w:ascii="Times New Roman" w:eastAsia="Times New Roman" w:hAnsi="Times New Roman" w:cs="Times New Roman"/>
          <w:b/>
          <w:sz w:val="28"/>
          <w:szCs w:val="28"/>
        </w:rPr>
        <w:t xml:space="preserve"> Ингушетия</w:t>
      </w:r>
    </w:p>
    <w:p w:rsidR="000B5DDA" w:rsidRDefault="000B5DDA" w:rsidP="000B5DD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5DDA" w:rsidRPr="000B5DDA" w:rsidRDefault="000B5DDA" w:rsidP="000B5DD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965" w:type="dxa"/>
        <w:tblInd w:w="96" w:type="dxa"/>
        <w:tblLayout w:type="fixed"/>
        <w:tblLook w:val="04A0"/>
      </w:tblPr>
      <w:tblGrid>
        <w:gridCol w:w="3273"/>
        <w:gridCol w:w="1948"/>
        <w:gridCol w:w="1949"/>
        <w:gridCol w:w="1949"/>
        <w:gridCol w:w="1948"/>
        <w:gridCol w:w="1949"/>
        <w:gridCol w:w="1949"/>
      </w:tblGrid>
      <w:tr w:rsidR="000B5DDA" w:rsidRPr="000B5DDA" w:rsidTr="000B5DDA">
        <w:trPr>
          <w:trHeight w:val="1755"/>
        </w:trPr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деятельностью руководителя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организацией транспортного обслуживания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качеством автомобильных дорог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организацией водоснабжения (водоотведения)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организацией электроснабжения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7A1DA1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A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удовлетворенности организацией газоснабжения</w:t>
            </w:r>
          </w:p>
        </w:tc>
      </w:tr>
      <w:tr w:rsidR="000B5DDA" w:rsidRPr="000B5DDA" w:rsidTr="000B5DDA">
        <w:trPr>
          <w:trHeight w:val="600"/>
        </w:trPr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Назрановский район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Сунженский район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Малгобекский район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Джейрахский район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 Магас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 Назрань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 Малгобек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DDA" w:rsidRPr="000B5DDA" w:rsidTr="000B5DDA">
        <w:trPr>
          <w:trHeight w:val="6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 Карабулак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DA" w:rsidRPr="000B5DDA" w:rsidRDefault="000B5DDA" w:rsidP="000B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</w:tbl>
    <w:p w:rsidR="001514E7" w:rsidRDefault="001514E7" w:rsidP="002A1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593" w:rsidRDefault="005B5593" w:rsidP="00E71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B5593" w:rsidSect="000B5DDA">
          <w:pgSz w:w="16838" w:h="11906" w:orient="landscape"/>
          <w:pgMar w:top="851" w:right="1276" w:bottom="839" w:left="1134" w:header="425" w:footer="709" w:gutter="0"/>
          <w:cols w:space="708"/>
          <w:docGrid w:linePitch="360"/>
        </w:sectPr>
      </w:pPr>
    </w:p>
    <w:p w:rsidR="00BE2A1C" w:rsidRDefault="00E74625" w:rsidP="00E746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4625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КОМПЛЕКСНАЯ ОЦЕНКА НАИЛУЧШИХ ЗНАЧЕНИЙ ПОКАЗАТЕЛЕЙ ПО ДОСТИГНУТОМУ УРОВНЮ И ДИНАМИКЕ </w:t>
      </w:r>
      <w:proofErr w:type="gramStart"/>
      <w:r w:rsidRPr="00E74625">
        <w:rPr>
          <w:rFonts w:ascii="Times New Roman" w:hAnsi="Times New Roman" w:cs="Times New Roman"/>
          <w:sz w:val="28"/>
          <w:szCs w:val="28"/>
        </w:rPr>
        <w:t xml:space="preserve">ЭФФЕКТИВНОСТИ ДЕЯТЕЛЬНОСТИ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74625">
        <w:rPr>
          <w:rFonts w:ascii="Times New Roman" w:hAnsi="Times New Roman" w:cs="Times New Roman"/>
          <w:sz w:val="28"/>
          <w:szCs w:val="28"/>
        </w:rPr>
        <w:t xml:space="preserve"> РЕСПУБЛИКИ</w:t>
      </w:r>
      <w:proofErr w:type="gramEnd"/>
      <w:r w:rsidRPr="00E74625">
        <w:rPr>
          <w:rFonts w:ascii="Times New Roman" w:hAnsi="Times New Roman" w:cs="Times New Roman"/>
          <w:sz w:val="28"/>
          <w:szCs w:val="28"/>
        </w:rPr>
        <w:t xml:space="preserve"> ИНГУШЕТИЯ В 2014 ГОДУ</w:t>
      </w:r>
    </w:p>
    <w:p w:rsidR="00BE2A1C" w:rsidRDefault="00BE2A1C" w:rsidP="00E849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60" w:type="dxa"/>
        <w:tblInd w:w="96" w:type="dxa"/>
        <w:tblLook w:val="04A0"/>
      </w:tblPr>
      <w:tblGrid>
        <w:gridCol w:w="3820"/>
        <w:gridCol w:w="3620"/>
        <w:gridCol w:w="2920"/>
      </w:tblGrid>
      <w:tr w:rsidR="00E74625" w:rsidRPr="00E74625" w:rsidTr="00E74625">
        <w:trPr>
          <w:trHeight w:val="127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Комплексная оценка показателя эффективности деятельности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Муниципальные районы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Назрановский район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0,210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4625" w:rsidRPr="00E74625" w:rsidTr="00060573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Сунженский район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0,240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06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Малгобекский район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0,320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Джейрахский район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0,090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Городские округа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г. Магас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0,240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г. Назрань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3C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C501A">
              <w:rPr>
                <w:rFonts w:ascii="Times New Roman" w:eastAsia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г. Малгобек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3C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C501A">
              <w:rPr>
                <w:rFonts w:ascii="Times New Roman" w:eastAsia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74625" w:rsidRPr="00E74625" w:rsidTr="00E74625">
        <w:trPr>
          <w:trHeight w:val="6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25" w:rsidRPr="00E74625" w:rsidRDefault="00E74625" w:rsidP="0054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г. Карабулак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3C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C501A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625" w:rsidRPr="00E74625" w:rsidRDefault="00E74625" w:rsidP="00E74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2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E2A1C" w:rsidRDefault="00BE2A1C" w:rsidP="00E746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E02" w:rsidRPr="00544F9F" w:rsidRDefault="00E849E8" w:rsidP="00E849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F9F">
        <w:rPr>
          <w:rFonts w:ascii="Times New Roman" w:hAnsi="Times New Roman" w:cs="Times New Roman"/>
          <w:b/>
          <w:sz w:val="28"/>
          <w:szCs w:val="28"/>
        </w:rPr>
        <w:t>ПРЕДЛОЖЕНИЯ ПО ПРЕДОСТАВЛЕНИЮ ГРАНТОВ ГОРОДСКИМ ОКРУГАМ И МУНИЦИПАЛЬНЫМ РАЙОНАМ</w:t>
      </w:r>
    </w:p>
    <w:p w:rsidR="000F2E02" w:rsidRDefault="000F2E02" w:rsidP="005059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A1C" w:rsidRDefault="00BE2A1C" w:rsidP="005059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соответствии с</w:t>
      </w:r>
      <w:r w:rsidR="004014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619FB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619FB">
        <w:rPr>
          <w:rFonts w:ascii="Times New Roman" w:hAnsi="Times New Roman" w:cs="Times New Roman"/>
          <w:sz w:val="28"/>
          <w:szCs w:val="28"/>
        </w:rPr>
        <w:t xml:space="preserve"> Главы Республики Ингушетия от 17 октября 2014 г. № 196 «О мерах по реализации Указа Президента Российской Федерации от 28 апреля 2008 г. № 607 «Об оценке эффективности деятельности органов местного самоуправления городских округов и муниципальных районов»</w:t>
      </w:r>
      <w:r w:rsidR="0040144B">
        <w:rPr>
          <w:rFonts w:ascii="Times New Roman" w:hAnsi="Times New Roman" w:cs="Times New Roman"/>
          <w:sz w:val="28"/>
          <w:szCs w:val="28"/>
        </w:rPr>
        <w:t xml:space="preserve"> гранты </w:t>
      </w:r>
      <w:r w:rsidR="007A1DA1">
        <w:rPr>
          <w:rFonts w:ascii="Times New Roman" w:hAnsi="Times New Roman" w:cs="Times New Roman"/>
          <w:sz w:val="28"/>
          <w:szCs w:val="28"/>
        </w:rPr>
        <w:t>на</w:t>
      </w:r>
      <w:r w:rsidR="0040144B">
        <w:rPr>
          <w:rFonts w:ascii="Times New Roman" w:hAnsi="Times New Roman" w:cs="Times New Roman"/>
          <w:sz w:val="28"/>
          <w:szCs w:val="28"/>
        </w:rPr>
        <w:t xml:space="preserve"> общ</w:t>
      </w:r>
      <w:r w:rsidR="007A1DA1">
        <w:rPr>
          <w:rFonts w:ascii="Times New Roman" w:hAnsi="Times New Roman" w:cs="Times New Roman"/>
          <w:sz w:val="28"/>
          <w:szCs w:val="28"/>
        </w:rPr>
        <w:t>ую</w:t>
      </w:r>
      <w:r w:rsidR="0040144B">
        <w:rPr>
          <w:rFonts w:ascii="Times New Roman" w:hAnsi="Times New Roman" w:cs="Times New Roman"/>
          <w:sz w:val="28"/>
          <w:szCs w:val="28"/>
        </w:rPr>
        <w:t xml:space="preserve"> сумм</w:t>
      </w:r>
      <w:r w:rsidR="007A1DA1">
        <w:rPr>
          <w:rFonts w:ascii="Times New Roman" w:hAnsi="Times New Roman" w:cs="Times New Roman"/>
          <w:sz w:val="28"/>
          <w:szCs w:val="28"/>
        </w:rPr>
        <w:t>у</w:t>
      </w:r>
      <w:r w:rsidR="0040144B">
        <w:rPr>
          <w:rFonts w:ascii="Times New Roman" w:hAnsi="Times New Roman" w:cs="Times New Roman"/>
          <w:sz w:val="28"/>
          <w:szCs w:val="28"/>
        </w:rPr>
        <w:t xml:space="preserve"> 2 млн рублей в год </w:t>
      </w:r>
      <w:r w:rsidR="00F544AB">
        <w:rPr>
          <w:rFonts w:ascii="Times New Roman" w:hAnsi="Times New Roman" w:cs="Times New Roman"/>
          <w:sz w:val="28"/>
          <w:szCs w:val="28"/>
        </w:rPr>
        <w:t>выделяются 1 </w:t>
      </w:r>
      <w:r w:rsidR="0040144B">
        <w:rPr>
          <w:rFonts w:ascii="Times New Roman" w:hAnsi="Times New Roman" w:cs="Times New Roman"/>
          <w:sz w:val="28"/>
          <w:szCs w:val="28"/>
        </w:rPr>
        <w:t>городскому округу и 1 муниципальному району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6221" w:rsidRDefault="00BE2A1C" w:rsidP="00E746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Республики Ингушетия предлагает </w:t>
      </w:r>
      <w:r w:rsidR="0040144B">
        <w:rPr>
          <w:rFonts w:ascii="Times New Roman" w:hAnsi="Times New Roman" w:cs="Times New Roman"/>
          <w:sz w:val="28"/>
          <w:szCs w:val="28"/>
        </w:rPr>
        <w:t xml:space="preserve">распределить указанные средства между </w:t>
      </w:r>
      <w:r w:rsidR="004649E9">
        <w:rPr>
          <w:rFonts w:ascii="Times New Roman" w:hAnsi="Times New Roman" w:cs="Times New Roman"/>
          <w:sz w:val="28"/>
          <w:szCs w:val="28"/>
        </w:rPr>
        <w:t>муниципальными образованиями Малгобекский район и г.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649E9">
        <w:rPr>
          <w:rFonts w:ascii="Times New Roman" w:hAnsi="Times New Roman" w:cs="Times New Roman"/>
          <w:sz w:val="28"/>
          <w:szCs w:val="28"/>
        </w:rPr>
        <w:t>Малгобек</w:t>
      </w:r>
      <w:r>
        <w:rPr>
          <w:rFonts w:ascii="Times New Roman" w:hAnsi="Times New Roman" w:cs="Times New Roman"/>
          <w:sz w:val="28"/>
          <w:szCs w:val="28"/>
        </w:rPr>
        <w:t xml:space="preserve"> (по 1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4649E9">
        <w:rPr>
          <w:rFonts w:ascii="Times New Roman" w:hAnsi="Times New Roman" w:cs="Times New Roman"/>
          <w:sz w:val="28"/>
          <w:szCs w:val="28"/>
        </w:rPr>
        <w:t xml:space="preserve">, </w:t>
      </w:r>
      <w:r w:rsidR="00B17D3F">
        <w:rPr>
          <w:rFonts w:ascii="Times New Roman" w:hAnsi="Times New Roman" w:cs="Times New Roman"/>
          <w:sz w:val="28"/>
          <w:szCs w:val="28"/>
        </w:rPr>
        <w:t>достигшим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17D3F">
        <w:rPr>
          <w:rFonts w:ascii="Times New Roman" w:hAnsi="Times New Roman" w:cs="Times New Roman"/>
          <w:sz w:val="28"/>
          <w:szCs w:val="28"/>
        </w:rPr>
        <w:t xml:space="preserve"> по итогам деятельности в 2014 году </w:t>
      </w:r>
      <w:r>
        <w:rPr>
          <w:rFonts w:ascii="Times New Roman" w:hAnsi="Times New Roman" w:cs="Times New Roman"/>
          <w:sz w:val="28"/>
          <w:szCs w:val="28"/>
        </w:rPr>
        <w:t>наи</w:t>
      </w:r>
      <w:r w:rsidR="00B17D3F">
        <w:rPr>
          <w:rFonts w:ascii="Times New Roman" w:hAnsi="Times New Roman" w:cs="Times New Roman"/>
          <w:sz w:val="28"/>
          <w:szCs w:val="28"/>
        </w:rPr>
        <w:t>лучших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4B">
        <w:rPr>
          <w:rFonts w:ascii="Times New Roman" w:hAnsi="Times New Roman" w:cs="Times New Roman"/>
          <w:sz w:val="28"/>
          <w:szCs w:val="28"/>
        </w:rPr>
        <w:t>.</w:t>
      </w:r>
      <w:r w:rsidR="00AF54C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D6221" w:rsidSect="005B5593">
      <w:pgSz w:w="11906" w:h="16838"/>
      <w:pgMar w:top="1134" w:right="851" w:bottom="1276" w:left="839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3A5" w:rsidRDefault="003A13A5" w:rsidP="003A005A">
      <w:pPr>
        <w:spacing w:after="0" w:line="240" w:lineRule="auto"/>
      </w:pPr>
      <w:r>
        <w:separator/>
      </w:r>
    </w:p>
  </w:endnote>
  <w:endnote w:type="continuationSeparator" w:id="0">
    <w:p w:rsidR="003A13A5" w:rsidRDefault="003A13A5" w:rsidP="003A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4785"/>
      <w:docPartObj>
        <w:docPartGallery w:val="Page Numbers (Bottom of Page)"/>
        <w:docPartUnique/>
      </w:docPartObj>
    </w:sdtPr>
    <w:sdtContent>
      <w:p w:rsidR="00060573" w:rsidRDefault="000D60A6" w:rsidP="00135BEF">
        <w:pPr>
          <w:pStyle w:val="aa"/>
          <w:jc w:val="right"/>
        </w:pPr>
        <w:fldSimple w:instr=" PAGE   \* MERGEFORMAT ">
          <w:r w:rsidR="003C501A">
            <w:rPr>
              <w:noProof/>
            </w:rPr>
            <w:t>23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3A5" w:rsidRDefault="003A13A5" w:rsidP="003A005A">
      <w:pPr>
        <w:spacing w:after="0" w:line="240" w:lineRule="auto"/>
      </w:pPr>
      <w:r>
        <w:separator/>
      </w:r>
    </w:p>
  </w:footnote>
  <w:footnote w:type="continuationSeparator" w:id="0">
    <w:p w:rsidR="003A13A5" w:rsidRDefault="003A13A5" w:rsidP="003A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995"/>
    <w:multiLevelType w:val="hybridMultilevel"/>
    <w:tmpl w:val="6D3AD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6BF3"/>
    <w:multiLevelType w:val="hybridMultilevel"/>
    <w:tmpl w:val="0FFA5364"/>
    <w:lvl w:ilvl="0" w:tplc="87008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81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86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E03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40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6C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F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81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6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0771F3"/>
    <w:multiLevelType w:val="hybridMultilevel"/>
    <w:tmpl w:val="2646C408"/>
    <w:lvl w:ilvl="0" w:tplc="BBA4F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655106"/>
    <w:multiLevelType w:val="hybridMultilevel"/>
    <w:tmpl w:val="09F66814"/>
    <w:lvl w:ilvl="0" w:tplc="87008C52">
      <w:start w:val="1"/>
      <w:numFmt w:val="bullet"/>
      <w:lvlText w:val="•"/>
      <w:lvlJc w:val="left"/>
      <w:pPr>
        <w:ind w:left="100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>
    <w:nsid w:val="3028274C"/>
    <w:multiLevelType w:val="hybridMultilevel"/>
    <w:tmpl w:val="99746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F6D55"/>
    <w:multiLevelType w:val="hybridMultilevel"/>
    <w:tmpl w:val="4D7E3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F0EDA"/>
    <w:multiLevelType w:val="hybridMultilevel"/>
    <w:tmpl w:val="88407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410774"/>
    <w:multiLevelType w:val="hybridMultilevel"/>
    <w:tmpl w:val="5E5431BE"/>
    <w:lvl w:ilvl="0" w:tplc="8A660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394"/>
    <w:rsid w:val="00004073"/>
    <w:rsid w:val="000262E4"/>
    <w:rsid w:val="00027084"/>
    <w:rsid w:val="000277CF"/>
    <w:rsid w:val="00050BAC"/>
    <w:rsid w:val="00060573"/>
    <w:rsid w:val="00063DA4"/>
    <w:rsid w:val="000701FC"/>
    <w:rsid w:val="00083171"/>
    <w:rsid w:val="0008490A"/>
    <w:rsid w:val="00093DD4"/>
    <w:rsid w:val="000A570F"/>
    <w:rsid w:val="000B5DDA"/>
    <w:rsid w:val="000C1FFC"/>
    <w:rsid w:val="000D11C9"/>
    <w:rsid w:val="000D1A37"/>
    <w:rsid w:val="000D39BD"/>
    <w:rsid w:val="000D60A6"/>
    <w:rsid w:val="000D779B"/>
    <w:rsid w:val="000F2E02"/>
    <w:rsid w:val="000F43C8"/>
    <w:rsid w:val="00132EF8"/>
    <w:rsid w:val="00135BEF"/>
    <w:rsid w:val="00136447"/>
    <w:rsid w:val="001514E7"/>
    <w:rsid w:val="00154225"/>
    <w:rsid w:val="00155E7D"/>
    <w:rsid w:val="00157566"/>
    <w:rsid w:val="00163246"/>
    <w:rsid w:val="00166FB8"/>
    <w:rsid w:val="001732D3"/>
    <w:rsid w:val="001A476A"/>
    <w:rsid w:val="001A7FED"/>
    <w:rsid w:val="001C19AD"/>
    <w:rsid w:val="001D3262"/>
    <w:rsid w:val="001D6480"/>
    <w:rsid w:val="001F5496"/>
    <w:rsid w:val="00232DBE"/>
    <w:rsid w:val="00246612"/>
    <w:rsid w:val="0027532A"/>
    <w:rsid w:val="00282B61"/>
    <w:rsid w:val="00291A2C"/>
    <w:rsid w:val="002A1694"/>
    <w:rsid w:val="002A33B9"/>
    <w:rsid w:val="002A3448"/>
    <w:rsid w:val="002A4CF8"/>
    <w:rsid w:val="002A5EEC"/>
    <w:rsid w:val="002B3975"/>
    <w:rsid w:val="002D50C1"/>
    <w:rsid w:val="002E18E3"/>
    <w:rsid w:val="002E34D7"/>
    <w:rsid w:val="002F446D"/>
    <w:rsid w:val="00316A71"/>
    <w:rsid w:val="00324797"/>
    <w:rsid w:val="00326091"/>
    <w:rsid w:val="00334ECC"/>
    <w:rsid w:val="00347F39"/>
    <w:rsid w:val="00351D68"/>
    <w:rsid w:val="003644CF"/>
    <w:rsid w:val="003708C5"/>
    <w:rsid w:val="00387852"/>
    <w:rsid w:val="00394C54"/>
    <w:rsid w:val="00394D96"/>
    <w:rsid w:val="003A005A"/>
    <w:rsid w:val="003A13A1"/>
    <w:rsid w:val="003A13A5"/>
    <w:rsid w:val="003B0FDB"/>
    <w:rsid w:val="003B1D7F"/>
    <w:rsid w:val="003B389B"/>
    <w:rsid w:val="003B3DBE"/>
    <w:rsid w:val="003B4D38"/>
    <w:rsid w:val="003C355A"/>
    <w:rsid w:val="003C501A"/>
    <w:rsid w:val="003D374F"/>
    <w:rsid w:val="003E0300"/>
    <w:rsid w:val="003E2D39"/>
    <w:rsid w:val="003F3685"/>
    <w:rsid w:val="003F402B"/>
    <w:rsid w:val="0040144B"/>
    <w:rsid w:val="00403274"/>
    <w:rsid w:val="00403F69"/>
    <w:rsid w:val="004112CF"/>
    <w:rsid w:val="004332B3"/>
    <w:rsid w:val="00436D7D"/>
    <w:rsid w:val="00441A4E"/>
    <w:rsid w:val="00450E02"/>
    <w:rsid w:val="00462FA2"/>
    <w:rsid w:val="004649E9"/>
    <w:rsid w:val="00486378"/>
    <w:rsid w:val="004905DC"/>
    <w:rsid w:val="004A2956"/>
    <w:rsid w:val="004B280E"/>
    <w:rsid w:val="004B2ED6"/>
    <w:rsid w:val="004B5252"/>
    <w:rsid w:val="004D43B6"/>
    <w:rsid w:val="004E5E54"/>
    <w:rsid w:val="004F16C8"/>
    <w:rsid w:val="004F5F41"/>
    <w:rsid w:val="005020A1"/>
    <w:rsid w:val="0050593E"/>
    <w:rsid w:val="00522E4F"/>
    <w:rsid w:val="005337A1"/>
    <w:rsid w:val="005369D8"/>
    <w:rsid w:val="00544F9F"/>
    <w:rsid w:val="00545E7C"/>
    <w:rsid w:val="0055586A"/>
    <w:rsid w:val="005619FB"/>
    <w:rsid w:val="005736DC"/>
    <w:rsid w:val="00573A05"/>
    <w:rsid w:val="00574778"/>
    <w:rsid w:val="00582837"/>
    <w:rsid w:val="005A1E74"/>
    <w:rsid w:val="005A345F"/>
    <w:rsid w:val="005B5593"/>
    <w:rsid w:val="005B6666"/>
    <w:rsid w:val="005C1A3E"/>
    <w:rsid w:val="005C1A45"/>
    <w:rsid w:val="005E6264"/>
    <w:rsid w:val="005F0D0B"/>
    <w:rsid w:val="00610D28"/>
    <w:rsid w:val="0061145C"/>
    <w:rsid w:val="006167DA"/>
    <w:rsid w:val="00630A7E"/>
    <w:rsid w:val="006312CD"/>
    <w:rsid w:val="00631765"/>
    <w:rsid w:val="00642F10"/>
    <w:rsid w:val="00645F48"/>
    <w:rsid w:val="00645FDA"/>
    <w:rsid w:val="00666AED"/>
    <w:rsid w:val="0067560B"/>
    <w:rsid w:val="00683268"/>
    <w:rsid w:val="00683712"/>
    <w:rsid w:val="00686E92"/>
    <w:rsid w:val="006B11AA"/>
    <w:rsid w:val="006C06E6"/>
    <w:rsid w:val="006D16BD"/>
    <w:rsid w:val="006D3ED6"/>
    <w:rsid w:val="006D4168"/>
    <w:rsid w:val="006D7C52"/>
    <w:rsid w:val="006E322E"/>
    <w:rsid w:val="006F1DC8"/>
    <w:rsid w:val="006F4BAB"/>
    <w:rsid w:val="0070544E"/>
    <w:rsid w:val="00706D81"/>
    <w:rsid w:val="007137C3"/>
    <w:rsid w:val="00713855"/>
    <w:rsid w:val="00747C2E"/>
    <w:rsid w:val="00750E93"/>
    <w:rsid w:val="007548AD"/>
    <w:rsid w:val="007565B4"/>
    <w:rsid w:val="0077538A"/>
    <w:rsid w:val="00776626"/>
    <w:rsid w:val="0079057A"/>
    <w:rsid w:val="007969F2"/>
    <w:rsid w:val="007A13C8"/>
    <w:rsid w:val="007A1DA1"/>
    <w:rsid w:val="007A1EF6"/>
    <w:rsid w:val="007A3B72"/>
    <w:rsid w:val="007B53A7"/>
    <w:rsid w:val="007C2B8D"/>
    <w:rsid w:val="007D272F"/>
    <w:rsid w:val="007E4134"/>
    <w:rsid w:val="007F63A1"/>
    <w:rsid w:val="00813A68"/>
    <w:rsid w:val="0082250C"/>
    <w:rsid w:val="0084110D"/>
    <w:rsid w:val="00841498"/>
    <w:rsid w:val="00842FEB"/>
    <w:rsid w:val="00851ACF"/>
    <w:rsid w:val="00855572"/>
    <w:rsid w:val="0085789A"/>
    <w:rsid w:val="00860A69"/>
    <w:rsid w:val="00873CCA"/>
    <w:rsid w:val="00886696"/>
    <w:rsid w:val="008915B0"/>
    <w:rsid w:val="008954C8"/>
    <w:rsid w:val="008B1FFF"/>
    <w:rsid w:val="008D7E3B"/>
    <w:rsid w:val="009018D5"/>
    <w:rsid w:val="00904026"/>
    <w:rsid w:val="00913E86"/>
    <w:rsid w:val="00916222"/>
    <w:rsid w:val="00926277"/>
    <w:rsid w:val="009308D5"/>
    <w:rsid w:val="00955DEA"/>
    <w:rsid w:val="0095786E"/>
    <w:rsid w:val="009745A3"/>
    <w:rsid w:val="00975815"/>
    <w:rsid w:val="0097696E"/>
    <w:rsid w:val="009838DD"/>
    <w:rsid w:val="009A524D"/>
    <w:rsid w:val="009B1C66"/>
    <w:rsid w:val="009D0C15"/>
    <w:rsid w:val="009D18D7"/>
    <w:rsid w:val="009D2EBC"/>
    <w:rsid w:val="009D436E"/>
    <w:rsid w:val="009D69B3"/>
    <w:rsid w:val="009D6F5C"/>
    <w:rsid w:val="009E5EBA"/>
    <w:rsid w:val="009F1285"/>
    <w:rsid w:val="00A0292A"/>
    <w:rsid w:val="00A05092"/>
    <w:rsid w:val="00A06CB2"/>
    <w:rsid w:val="00A25A1B"/>
    <w:rsid w:val="00A32C16"/>
    <w:rsid w:val="00A55D86"/>
    <w:rsid w:val="00A65AFB"/>
    <w:rsid w:val="00A7290C"/>
    <w:rsid w:val="00A7388B"/>
    <w:rsid w:val="00A81F10"/>
    <w:rsid w:val="00A8385C"/>
    <w:rsid w:val="00A8520A"/>
    <w:rsid w:val="00A92F82"/>
    <w:rsid w:val="00A94493"/>
    <w:rsid w:val="00A96897"/>
    <w:rsid w:val="00AA44F0"/>
    <w:rsid w:val="00AB153B"/>
    <w:rsid w:val="00AB555F"/>
    <w:rsid w:val="00AC387E"/>
    <w:rsid w:val="00AC6914"/>
    <w:rsid w:val="00AC6FA0"/>
    <w:rsid w:val="00AC7939"/>
    <w:rsid w:val="00AD59D0"/>
    <w:rsid w:val="00AD6975"/>
    <w:rsid w:val="00AF54CA"/>
    <w:rsid w:val="00B0523C"/>
    <w:rsid w:val="00B101DD"/>
    <w:rsid w:val="00B13BA0"/>
    <w:rsid w:val="00B17D3F"/>
    <w:rsid w:val="00B37777"/>
    <w:rsid w:val="00B41BD8"/>
    <w:rsid w:val="00B61239"/>
    <w:rsid w:val="00B6656C"/>
    <w:rsid w:val="00B6755C"/>
    <w:rsid w:val="00B7552B"/>
    <w:rsid w:val="00B854F3"/>
    <w:rsid w:val="00B866AF"/>
    <w:rsid w:val="00B87394"/>
    <w:rsid w:val="00BA371D"/>
    <w:rsid w:val="00BC295B"/>
    <w:rsid w:val="00BD33F4"/>
    <w:rsid w:val="00BE2A1C"/>
    <w:rsid w:val="00BE5974"/>
    <w:rsid w:val="00BE7F0E"/>
    <w:rsid w:val="00BF0273"/>
    <w:rsid w:val="00BF3CFF"/>
    <w:rsid w:val="00BF4F3D"/>
    <w:rsid w:val="00C043E9"/>
    <w:rsid w:val="00C166F5"/>
    <w:rsid w:val="00C168D3"/>
    <w:rsid w:val="00C21E36"/>
    <w:rsid w:val="00C220A0"/>
    <w:rsid w:val="00C234CE"/>
    <w:rsid w:val="00C26D78"/>
    <w:rsid w:val="00C33213"/>
    <w:rsid w:val="00C5090F"/>
    <w:rsid w:val="00C533A8"/>
    <w:rsid w:val="00C5541E"/>
    <w:rsid w:val="00C55CD4"/>
    <w:rsid w:val="00C57C85"/>
    <w:rsid w:val="00C61863"/>
    <w:rsid w:val="00C6730B"/>
    <w:rsid w:val="00C7146D"/>
    <w:rsid w:val="00C75640"/>
    <w:rsid w:val="00C75F42"/>
    <w:rsid w:val="00C9188D"/>
    <w:rsid w:val="00CC00E6"/>
    <w:rsid w:val="00CC1ABE"/>
    <w:rsid w:val="00CC4F1D"/>
    <w:rsid w:val="00CD233E"/>
    <w:rsid w:val="00CD34FC"/>
    <w:rsid w:val="00CD6E50"/>
    <w:rsid w:val="00CD77FE"/>
    <w:rsid w:val="00CF101F"/>
    <w:rsid w:val="00CF49D0"/>
    <w:rsid w:val="00D0324F"/>
    <w:rsid w:val="00D068A2"/>
    <w:rsid w:val="00D257F2"/>
    <w:rsid w:val="00D26613"/>
    <w:rsid w:val="00D32B87"/>
    <w:rsid w:val="00D75B9F"/>
    <w:rsid w:val="00D839B6"/>
    <w:rsid w:val="00D96667"/>
    <w:rsid w:val="00DA2C8F"/>
    <w:rsid w:val="00DA4CB2"/>
    <w:rsid w:val="00DB1510"/>
    <w:rsid w:val="00DC4573"/>
    <w:rsid w:val="00DC6692"/>
    <w:rsid w:val="00DC68B5"/>
    <w:rsid w:val="00DD6221"/>
    <w:rsid w:val="00DD6A2F"/>
    <w:rsid w:val="00DF188C"/>
    <w:rsid w:val="00DF3AC5"/>
    <w:rsid w:val="00DF7D74"/>
    <w:rsid w:val="00E01ECE"/>
    <w:rsid w:val="00E1109F"/>
    <w:rsid w:val="00E13413"/>
    <w:rsid w:val="00E22ECC"/>
    <w:rsid w:val="00E3177E"/>
    <w:rsid w:val="00E3428F"/>
    <w:rsid w:val="00E35722"/>
    <w:rsid w:val="00E50E93"/>
    <w:rsid w:val="00E513AC"/>
    <w:rsid w:val="00E55996"/>
    <w:rsid w:val="00E60B44"/>
    <w:rsid w:val="00E71488"/>
    <w:rsid w:val="00E714B5"/>
    <w:rsid w:val="00E74625"/>
    <w:rsid w:val="00E849E8"/>
    <w:rsid w:val="00E86748"/>
    <w:rsid w:val="00EA0184"/>
    <w:rsid w:val="00EA7BCD"/>
    <w:rsid w:val="00EC6AF5"/>
    <w:rsid w:val="00ED7189"/>
    <w:rsid w:val="00ED7A0A"/>
    <w:rsid w:val="00EE2F74"/>
    <w:rsid w:val="00EE317C"/>
    <w:rsid w:val="00EF03E5"/>
    <w:rsid w:val="00EF5A63"/>
    <w:rsid w:val="00EF5AFF"/>
    <w:rsid w:val="00EF6681"/>
    <w:rsid w:val="00EF780A"/>
    <w:rsid w:val="00F068C5"/>
    <w:rsid w:val="00F26E66"/>
    <w:rsid w:val="00F414C1"/>
    <w:rsid w:val="00F46528"/>
    <w:rsid w:val="00F501E3"/>
    <w:rsid w:val="00F524B1"/>
    <w:rsid w:val="00F544AB"/>
    <w:rsid w:val="00F6166E"/>
    <w:rsid w:val="00F62267"/>
    <w:rsid w:val="00F65304"/>
    <w:rsid w:val="00F65655"/>
    <w:rsid w:val="00F739E5"/>
    <w:rsid w:val="00F76BDA"/>
    <w:rsid w:val="00F8123B"/>
    <w:rsid w:val="00F82899"/>
    <w:rsid w:val="00F87B9E"/>
    <w:rsid w:val="00F944BF"/>
    <w:rsid w:val="00FA2521"/>
    <w:rsid w:val="00FA4567"/>
    <w:rsid w:val="00FA7619"/>
    <w:rsid w:val="00FB7751"/>
    <w:rsid w:val="00FC0E9D"/>
    <w:rsid w:val="00FC4C67"/>
    <w:rsid w:val="00FE4580"/>
    <w:rsid w:val="00FE73EC"/>
    <w:rsid w:val="00FF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BF"/>
  </w:style>
  <w:style w:type="paragraph" w:styleId="2">
    <w:name w:val="heading 2"/>
    <w:basedOn w:val="a"/>
    <w:next w:val="a"/>
    <w:link w:val="20"/>
    <w:uiPriority w:val="9"/>
    <w:unhideWhenUsed/>
    <w:qFormat/>
    <w:rsid w:val="00DC68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39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697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D6975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A371D"/>
    <w:pPr>
      <w:ind w:left="720"/>
      <w:contextualSpacing/>
    </w:pPr>
  </w:style>
  <w:style w:type="table" w:styleId="a7">
    <w:name w:val="Table Grid"/>
    <w:basedOn w:val="a1"/>
    <w:uiPriority w:val="59"/>
    <w:rsid w:val="00610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F4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qFormat/>
    <w:rsid w:val="006D7C52"/>
    <w:pPr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character" w:customStyle="1" w:styleId="a9">
    <w:name w:val="Название Знак"/>
    <w:basedOn w:val="a0"/>
    <w:link w:val="a8"/>
    <w:rsid w:val="006D7C52"/>
    <w:rPr>
      <w:rFonts w:ascii="Arial" w:eastAsia="Times New Roman" w:hAnsi="Arial" w:cs="Times New Roman"/>
      <w:b/>
      <w:sz w:val="4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C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4F1D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22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20A0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5337A1"/>
    <w:pPr>
      <w:spacing w:after="0" w:line="240" w:lineRule="auto"/>
      <w:ind w:firstLine="720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0040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C68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Body Text Indent"/>
    <w:basedOn w:val="a"/>
    <w:link w:val="af"/>
    <w:unhideWhenUsed/>
    <w:rsid w:val="00DC68B5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DC68B5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39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697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D6975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A371D"/>
    <w:pPr>
      <w:ind w:left="720"/>
      <w:contextualSpacing/>
    </w:pPr>
  </w:style>
  <w:style w:type="table" w:styleId="a7">
    <w:name w:val="Table Grid"/>
    <w:basedOn w:val="a1"/>
    <w:uiPriority w:val="59"/>
    <w:rsid w:val="00610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F4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qFormat/>
    <w:rsid w:val="006D7C52"/>
    <w:pPr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character" w:customStyle="1" w:styleId="a9">
    <w:name w:val="Название Знак"/>
    <w:basedOn w:val="a0"/>
    <w:link w:val="a8"/>
    <w:rsid w:val="006D7C52"/>
    <w:rPr>
      <w:rFonts w:ascii="Arial" w:eastAsia="Times New Roman" w:hAnsi="Arial" w:cs="Times New Roman"/>
      <w:b/>
      <w:sz w:val="4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C4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4F1D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22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2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4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83CF4840FADA9B3F75A8313FAE0E714ADC2B1D69ED90C50B0249E8B05675798FA7285E789381B33DnAi7P" TargetMode="External"/><Relationship Id="rId19" Type="http://schemas.openxmlformats.org/officeDocument/2006/relationships/chart" Target="charts/chart9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CF4840FADA9B3F75A8313FAE0E714ADC2A126FEB95C50B0249E8B05675798FA7285E789381B33CnAiDP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9;&#1082;&#1072;&#1078;&#1077;&#1074;&#1072;\&#1054;&#1090;&#1076;&#1077;&#1083;%20&#1101;&#1082;&#1086;&#1085;&#1086;&#1084;&#1080;&#1082;&#1080;%20&#1080;%20&#1092;&#1080;&#1085;&#1072;&#1085;&#1089;&#1086;&#1074;\&#1054;&#1052;&#1057;&#1059;\&#1054;&#1094;&#1077;&#1085;&#1082;&#1072;%20&#1101;&#1092;&#1092;&#1077;&#1082;&#1090;&#1080;&#1074;&#1085;&#1086;&#1089;&#1090;&#1080;%20&#1054;&#1052;&#1057;&#1059;\&#1054;&#1094;&#1077;&#1085;&#1082;&#1072;%20&#1087;&#1086;%20&#1080;&#1090;&#1086;&#1075;&#1072;&#1084;%202014%20&#1075;&#1086;&#1076;&#1072;\&#1044;&#1083;&#1103;%20&#1043;&#1083;&#1072;&#1074;&#1099;%20&#1056;&#1048;\&#1048;&#1090;&#1086;&#1075;&#1080;%20&#1086;&#1087;&#1088;&#1086;&#1089;&#1086;&#1074;%20&#1085;&#1072;&#1089;&#1077;&#1083;&#1077;&#1085;&#1080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kageva%20madina\Desktop\&#1044;&#1072;&#1085;&#1085;&#1099;&#1077;%20&#1082;%20&#1089;&#1083;&#1072;&#1081;&#1076;&#1072;&#1084;%20&#1086;&#1094;&#1077;&#1085;&#1082;&#1072;%20&#1054;&#1052;&#1057;&#105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tx2">
                <a:lumMod val="60000"/>
                <a:lumOff val="40000"/>
              </a:schemeClr>
            </a:solidFill>
          </c:spPr>
          <c:dLbls>
            <c:txPr>
              <a:bodyPr/>
              <a:lstStyle/>
              <a:p>
                <a:pPr>
                  <a:defRPr sz="1200" b="1">
                    <a:latin typeface="+mn-lt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Лист1!$A$3:$A$10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Лист1!$B$3:$B$10</c:f>
              <c:numCache>
                <c:formatCode>General</c:formatCode>
                <c:ptCount val="8"/>
                <c:pt idx="0">
                  <c:v>27</c:v>
                </c:pt>
                <c:pt idx="1">
                  <c:v>38</c:v>
                </c:pt>
                <c:pt idx="2">
                  <c:v>104</c:v>
                </c:pt>
                <c:pt idx="3">
                  <c:v>33.200000000000003</c:v>
                </c:pt>
                <c:pt idx="4">
                  <c:v>80</c:v>
                </c:pt>
                <c:pt idx="5">
                  <c:v>108</c:v>
                </c:pt>
                <c:pt idx="6">
                  <c:v>130.5</c:v>
                </c:pt>
                <c:pt idx="7">
                  <c:v>75</c:v>
                </c:pt>
              </c:numCache>
            </c:numRef>
          </c:val>
        </c:ser>
        <c:shape val="box"/>
        <c:axId val="129930752"/>
        <c:axId val="129932672"/>
        <c:axId val="0"/>
      </c:bar3DChart>
      <c:catAx>
        <c:axId val="129930752"/>
        <c:scaling>
          <c:orientation val="minMax"/>
        </c:scaling>
        <c:axPos val="b"/>
        <c:tickLblPos val="nextTo"/>
        <c:txPr>
          <a:bodyPr/>
          <a:lstStyle/>
          <a:p>
            <a:pPr>
              <a:defRPr sz="900" b="1"/>
            </a:pPr>
            <a:endParaRPr lang="ru-RU"/>
          </a:p>
        </c:txPr>
        <c:crossAx val="129932672"/>
        <c:crosses val="autoZero"/>
        <c:auto val="1"/>
        <c:lblAlgn val="ctr"/>
        <c:lblOffset val="100"/>
      </c:catAx>
      <c:valAx>
        <c:axId val="129932672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12993075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2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Лист8!$A$5:$A$12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Лист8!$B$5:$B$12</c:f>
              <c:numCache>
                <c:formatCode>General</c:formatCode>
                <c:ptCount val="8"/>
                <c:pt idx="0">
                  <c:v>16</c:v>
                </c:pt>
                <c:pt idx="1">
                  <c:v>16.5</c:v>
                </c:pt>
                <c:pt idx="2">
                  <c:v>14.6</c:v>
                </c:pt>
                <c:pt idx="3">
                  <c:v>18</c:v>
                </c:pt>
                <c:pt idx="4">
                  <c:v>52.9</c:v>
                </c:pt>
                <c:pt idx="5">
                  <c:v>13.1</c:v>
                </c:pt>
                <c:pt idx="6">
                  <c:v>26.8</c:v>
                </c:pt>
                <c:pt idx="7">
                  <c:v>15.3</c:v>
                </c:pt>
              </c:numCache>
            </c:numRef>
          </c:val>
        </c:ser>
        <c:shape val="box"/>
        <c:axId val="80499456"/>
        <c:axId val="80500992"/>
        <c:axId val="0"/>
      </c:bar3DChart>
      <c:catAx>
        <c:axId val="80499456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0500992"/>
        <c:crosses val="autoZero"/>
        <c:auto val="1"/>
        <c:lblAlgn val="ctr"/>
        <c:lblOffset val="100"/>
      </c:catAx>
      <c:valAx>
        <c:axId val="80500992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80499456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1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Лист9!$A$5:$A$12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Лист9!$B$5:$B$12</c:f>
              <c:numCache>
                <c:formatCode>General</c:formatCode>
                <c:ptCount val="8"/>
                <c:pt idx="0">
                  <c:v>1.2</c:v>
                </c:pt>
                <c:pt idx="1">
                  <c:v>1</c:v>
                </c:pt>
                <c:pt idx="2">
                  <c:v>3.9</c:v>
                </c:pt>
                <c:pt idx="3">
                  <c:v>0</c:v>
                </c:pt>
                <c:pt idx="4">
                  <c:v>420</c:v>
                </c:pt>
                <c:pt idx="5">
                  <c:v>220</c:v>
                </c:pt>
                <c:pt idx="6">
                  <c:v>0.30000000000000032</c:v>
                </c:pt>
                <c:pt idx="7">
                  <c:v>0.89</c:v>
                </c:pt>
              </c:numCache>
            </c:numRef>
          </c:val>
        </c:ser>
        <c:shape val="box"/>
        <c:axId val="80521088"/>
        <c:axId val="80522624"/>
        <c:axId val="0"/>
      </c:bar3DChart>
      <c:catAx>
        <c:axId val="8052108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0522624"/>
        <c:crosses val="autoZero"/>
        <c:auto val="1"/>
        <c:lblAlgn val="ctr"/>
        <c:lblOffset val="100"/>
      </c:catAx>
      <c:valAx>
        <c:axId val="80522624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80521088"/>
        <c:crosses val="autoZero"/>
        <c:crossBetween val="between"/>
      </c:valAx>
      <c:spPr>
        <a:ln>
          <a:noFill/>
        </a:ln>
      </c:spPr>
    </c:plotArea>
    <c:plotVisOnly val="1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7030A0">
                <a:alpha val="95000"/>
              </a:srgbClr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Лист10!$A$5:$A$12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Лист10!$B$5:$B$12</c:f>
              <c:numCache>
                <c:formatCode>General</c:formatCode>
                <c:ptCount val="8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100</c:v>
                </c:pt>
                <c:pt idx="5">
                  <c:v>100</c:v>
                </c:pt>
                <c:pt idx="6">
                  <c:v>30.5</c:v>
                </c:pt>
                <c:pt idx="7">
                  <c:v>100</c:v>
                </c:pt>
              </c:numCache>
            </c:numRef>
          </c:val>
        </c:ser>
        <c:shape val="box"/>
        <c:axId val="99240960"/>
        <c:axId val="99255040"/>
        <c:axId val="0"/>
      </c:bar3DChart>
      <c:catAx>
        <c:axId val="99240960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9255040"/>
        <c:crosses val="autoZero"/>
        <c:auto val="1"/>
        <c:lblAlgn val="ctr"/>
        <c:lblOffset val="100"/>
      </c:catAx>
      <c:valAx>
        <c:axId val="99255040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9924096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92D050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Лист11!$A$5:$A$12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Лист11!$B$5:$B$12</c:f>
              <c:numCache>
                <c:formatCode>General</c:formatCode>
                <c:ptCount val="8"/>
                <c:pt idx="0">
                  <c:v>54</c:v>
                </c:pt>
                <c:pt idx="1">
                  <c:v>50</c:v>
                </c:pt>
                <c:pt idx="2">
                  <c:v>17.5</c:v>
                </c:pt>
                <c:pt idx="3">
                  <c:v>12.5</c:v>
                </c:pt>
                <c:pt idx="4">
                  <c:v>90</c:v>
                </c:pt>
                <c:pt idx="5">
                  <c:v>54.1</c:v>
                </c:pt>
                <c:pt idx="6">
                  <c:v>81.5</c:v>
                </c:pt>
                <c:pt idx="7">
                  <c:v>35.1</c:v>
                </c:pt>
              </c:numCache>
            </c:numRef>
          </c:val>
        </c:ser>
        <c:shape val="box"/>
        <c:axId val="99283328"/>
        <c:axId val="99284864"/>
        <c:axId val="0"/>
      </c:bar3DChart>
      <c:catAx>
        <c:axId val="9928332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9284864"/>
        <c:crosses val="autoZero"/>
        <c:auto val="1"/>
        <c:lblAlgn val="ctr"/>
        <c:lblOffset val="100"/>
      </c:catAx>
      <c:valAx>
        <c:axId val="99284864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9928332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spPr>
            <a:solidFill>
              <a:srgbClr val="FFC000"/>
            </a:solidFill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'сводная таблица'!$A$3:$A$7</c:f>
              <c:strCache>
                <c:ptCount val="5"/>
                <c:pt idx="0">
                  <c:v>Транспортное обслуживание</c:v>
                </c:pt>
                <c:pt idx="1">
                  <c:v>Качество автомобильных дорог</c:v>
                </c:pt>
                <c:pt idx="2">
                  <c:v>Организация водоснабжения (водоотведения)</c:v>
                </c:pt>
                <c:pt idx="3">
                  <c:v>Организация электроснабжения</c:v>
                </c:pt>
                <c:pt idx="4">
                  <c:v>Организация газоснабжения</c:v>
                </c:pt>
              </c:strCache>
            </c:strRef>
          </c:cat>
          <c:val>
            <c:numRef>
              <c:f>'сводная таблица'!$B$3:$B$7</c:f>
              <c:numCache>
                <c:formatCode>General</c:formatCode>
                <c:ptCount val="5"/>
                <c:pt idx="0">
                  <c:v>84.4</c:v>
                </c:pt>
                <c:pt idx="1">
                  <c:v>77.2</c:v>
                </c:pt>
                <c:pt idx="2">
                  <c:v>74.3</c:v>
                </c:pt>
                <c:pt idx="3">
                  <c:v>71.2</c:v>
                </c:pt>
                <c:pt idx="4">
                  <c:v>70.7</c:v>
                </c:pt>
              </c:numCache>
            </c:numRef>
          </c:val>
        </c:ser>
        <c:axId val="135899008"/>
        <c:axId val="135900544"/>
      </c:barChart>
      <c:catAx>
        <c:axId val="13589900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35900544"/>
        <c:crosses val="autoZero"/>
        <c:auto val="1"/>
        <c:lblAlgn val="ctr"/>
        <c:lblOffset val="100"/>
      </c:catAx>
      <c:valAx>
        <c:axId val="135900544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13589900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6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Лист2!$A$4:$A$11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Лист2!$B$4:$B$11</c:f>
              <c:numCache>
                <c:formatCode>General</c:formatCode>
                <c:ptCount val="8"/>
                <c:pt idx="0">
                  <c:v>357</c:v>
                </c:pt>
                <c:pt idx="1">
                  <c:v>426</c:v>
                </c:pt>
                <c:pt idx="2">
                  <c:v>5670</c:v>
                </c:pt>
                <c:pt idx="3">
                  <c:v>0</c:v>
                </c:pt>
                <c:pt idx="4">
                  <c:v>57818.3</c:v>
                </c:pt>
                <c:pt idx="5">
                  <c:v>2976.74</c:v>
                </c:pt>
                <c:pt idx="6">
                  <c:v>4640.8</c:v>
                </c:pt>
                <c:pt idx="7">
                  <c:v>13043</c:v>
                </c:pt>
              </c:numCache>
            </c:numRef>
          </c:val>
        </c:ser>
        <c:shape val="box"/>
        <c:axId val="136275840"/>
        <c:axId val="39445248"/>
        <c:axId val="0"/>
      </c:bar3DChart>
      <c:catAx>
        <c:axId val="136275840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39445248"/>
        <c:crosses val="autoZero"/>
        <c:auto val="1"/>
        <c:lblAlgn val="ctr"/>
        <c:lblOffset val="100"/>
      </c:catAx>
      <c:valAx>
        <c:axId val="39445248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13627584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Лист3!$A$5:$A$12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Лист3!$B$5:$B$12</c:f>
              <c:numCache>
                <c:formatCode>General</c:formatCode>
                <c:ptCount val="8"/>
                <c:pt idx="0">
                  <c:v>60</c:v>
                </c:pt>
                <c:pt idx="1">
                  <c:v>65</c:v>
                </c:pt>
                <c:pt idx="2">
                  <c:v>80.7</c:v>
                </c:pt>
                <c:pt idx="3">
                  <c:v>17</c:v>
                </c:pt>
                <c:pt idx="4">
                  <c:v>32</c:v>
                </c:pt>
                <c:pt idx="5">
                  <c:v>100</c:v>
                </c:pt>
                <c:pt idx="6">
                  <c:v>24.4</c:v>
                </c:pt>
                <c:pt idx="7">
                  <c:v>89.8</c:v>
                </c:pt>
              </c:numCache>
            </c:numRef>
          </c:val>
        </c:ser>
        <c:shape val="box"/>
        <c:axId val="68952448"/>
        <c:axId val="68953984"/>
        <c:axId val="0"/>
      </c:bar3DChart>
      <c:catAx>
        <c:axId val="6895244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8953984"/>
        <c:crosses val="autoZero"/>
        <c:auto val="1"/>
        <c:lblAlgn val="ctr"/>
        <c:lblOffset val="100"/>
      </c:catAx>
      <c:valAx>
        <c:axId val="68953984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895244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3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Лист4!$A$5:$A$12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Лист4!$B$5:$B$12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100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44</c:v>
                </c:pt>
              </c:numCache>
            </c:numRef>
          </c:val>
        </c:ser>
        <c:shape val="box"/>
        <c:axId val="68961792"/>
        <c:axId val="68963328"/>
        <c:axId val="0"/>
      </c:bar3DChart>
      <c:catAx>
        <c:axId val="68961792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8963328"/>
        <c:crosses val="autoZero"/>
        <c:auto val="1"/>
        <c:lblAlgn val="ctr"/>
        <c:lblOffset val="100"/>
      </c:catAx>
      <c:valAx>
        <c:axId val="68963328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896179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C000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Лист5!$A$5:$A$12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Лист5!$B$5:$B$12</c:f>
              <c:numCache>
                <c:formatCode>General</c:formatCode>
                <c:ptCount val="8"/>
                <c:pt idx="0">
                  <c:v>40</c:v>
                </c:pt>
                <c:pt idx="1">
                  <c:v>31</c:v>
                </c:pt>
                <c:pt idx="2">
                  <c:v>23</c:v>
                </c:pt>
                <c:pt idx="3">
                  <c:v>47</c:v>
                </c:pt>
                <c:pt idx="4">
                  <c:v>0</c:v>
                </c:pt>
                <c:pt idx="5">
                  <c:v>12</c:v>
                </c:pt>
                <c:pt idx="6">
                  <c:v>29.7</c:v>
                </c:pt>
                <c:pt idx="7">
                  <c:v>16</c:v>
                </c:pt>
              </c:numCache>
            </c:numRef>
          </c:val>
        </c:ser>
        <c:shape val="box"/>
        <c:axId val="68979328"/>
        <c:axId val="68989312"/>
        <c:axId val="0"/>
      </c:bar3DChart>
      <c:catAx>
        <c:axId val="6897932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8989312"/>
        <c:crosses val="autoZero"/>
        <c:auto val="1"/>
        <c:lblAlgn val="ctr"/>
        <c:lblOffset val="100"/>
      </c:catAx>
      <c:valAx>
        <c:axId val="68989312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897932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4">
                <a:lumMod val="60000"/>
                <a:lumOff val="40000"/>
              </a:schemeClr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Лист6!$A$5:$A$12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Лист6!$B$5:$B$12</c:f>
              <c:numCache>
                <c:formatCode>General</c:formatCode>
                <c:ptCount val="8"/>
                <c:pt idx="0">
                  <c:v>60</c:v>
                </c:pt>
                <c:pt idx="1">
                  <c:v>90</c:v>
                </c:pt>
                <c:pt idx="2">
                  <c:v>25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72.5</c:v>
                </c:pt>
                <c:pt idx="7">
                  <c:v>15</c:v>
                </c:pt>
              </c:numCache>
            </c:numRef>
          </c:val>
        </c:ser>
        <c:shape val="box"/>
        <c:axId val="69341184"/>
        <c:axId val="69342720"/>
        <c:axId val="0"/>
      </c:bar3DChart>
      <c:catAx>
        <c:axId val="69341184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9342720"/>
        <c:crosses val="autoZero"/>
        <c:auto val="1"/>
        <c:lblAlgn val="ctr"/>
        <c:lblOffset val="100"/>
      </c:catAx>
      <c:valAx>
        <c:axId val="69342720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9341184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5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Лист6!$A$16:$A$23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Лист6!$B$16:$B$23</c:f>
              <c:numCache>
                <c:formatCode>General</c:formatCode>
                <c:ptCount val="8"/>
                <c:pt idx="0">
                  <c:v>70</c:v>
                </c:pt>
                <c:pt idx="1">
                  <c:v>100</c:v>
                </c:pt>
                <c:pt idx="2">
                  <c:v>60</c:v>
                </c:pt>
                <c:pt idx="3">
                  <c:v>100</c:v>
                </c:pt>
                <c:pt idx="4">
                  <c:v>0</c:v>
                </c:pt>
                <c:pt idx="5">
                  <c:v>69.2</c:v>
                </c:pt>
                <c:pt idx="6">
                  <c:v>85</c:v>
                </c:pt>
                <c:pt idx="7">
                  <c:v>65</c:v>
                </c:pt>
              </c:numCache>
            </c:numRef>
          </c:val>
        </c:ser>
        <c:shape val="box"/>
        <c:axId val="69358720"/>
        <c:axId val="69360256"/>
        <c:axId val="0"/>
      </c:bar3DChart>
      <c:catAx>
        <c:axId val="69358720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9360256"/>
        <c:crosses val="autoZero"/>
        <c:auto val="1"/>
        <c:lblAlgn val="ctr"/>
        <c:lblOffset val="100"/>
      </c:catAx>
      <c:valAx>
        <c:axId val="69360256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9358720"/>
        <c:crosses val="autoZero"/>
        <c:crossBetween val="between"/>
      </c:valAx>
      <c:spPr>
        <a:ln>
          <a:noFill/>
        </a:ln>
      </c:spPr>
    </c:plotArea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C00000"/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Лист6!$A$27:$A$34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Лист6!$B$27:$B$34</c:f>
              <c:numCache>
                <c:formatCode>General</c:formatCode>
                <c:ptCount val="8"/>
                <c:pt idx="0">
                  <c:v>0</c:v>
                </c:pt>
                <c:pt idx="1">
                  <c:v>70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100</c:v>
                </c:pt>
                <c:pt idx="6">
                  <c:v>100</c:v>
                </c:pt>
                <c:pt idx="7">
                  <c:v>30</c:v>
                </c:pt>
              </c:numCache>
            </c:numRef>
          </c:val>
        </c:ser>
        <c:shape val="box"/>
        <c:axId val="69384448"/>
        <c:axId val="69390336"/>
        <c:axId val="0"/>
      </c:bar3DChart>
      <c:catAx>
        <c:axId val="69384448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69390336"/>
        <c:crosses val="autoZero"/>
        <c:auto val="1"/>
        <c:lblAlgn val="ctr"/>
        <c:lblOffset val="100"/>
      </c:catAx>
      <c:valAx>
        <c:axId val="69390336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9384448"/>
        <c:crosses val="autoZero"/>
        <c:crossBetween val="between"/>
      </c:valAx>
      <c:spPr>
        <a:ln>
          <a:noFill/>
        </a:ln>
      </c:spPr>
    </c:plotArea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4"/>
            </a:solidFill>
          </c:spP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Лист7!$A$5:$A$12</c:f>
              <c:strCache>
                <c:ptCount val="8"/>
                <c:pt idx="0">
                  <c:v>Назрановский район </c:v>
                </c:pt>
                <c:pt idx="1">
                  <c:v>Сунженский район </c:v>
                </c:pt>
                <c:pt idx="2">
                  <c:v>Малгобекский район </c:v>
                </c:pt>
                <c:pt idx="3">
                  <c:v>Джейрахский район </c:v>
                </c:pt>
                <c:pt idx="4">
                  <c:v>г. Магас</c:v>
                </c:pt>
                <c:pt idx="5">
                  <c:v>г. Назрань</c:v>
                </c:pt>
                <c:pt idx="6">
                  <c:v>г. Малгобек</c:v>
                </c:pt>
                <c:pt idx="7">
                  <c:v>г. Карабулак</c:v>
                </c:pt>
              </c:strCache>
            </c:strRef>
          </c:cat>
          <c:val>
            <c:numRef>
              <c:f>Лист7!$B$5:$B$12</c:f>
              <c:numCache>
                <c:formatCode>General</c:formatCode>
                <c:ptCount val="8"/>
                <c:pt idx="0">
                  <c:v>15</c:v>
                </c:pt>
                <c:pt idx="1">
                  <c:v>29</c:v>
                </c:pt>
                <c:pt idx="2">
                  <c:v>10</c:v>
                </c:pt>
                <c:pt idx="3">
                  <c:v>15</c:v>
                </c:pt>
                <c:pt idx="4">
                  <c:v>19.100000000000001</c:v>
                </c:pt>
                <c:pt idx="5">
                  <c:v>12</c:v>
                </c:pt>
                <c:pt idx="6">
                  <c:v>11.2</c:v>
                </c:pt>
                <c:pt idx="7">
                  <c:v>13</c:v>
                </c:pt>
              </c:numCache>
            </c:numRef>
          </c:val>
        </c:ser>
        <c:shape val="box"/>
        <c:axId val="69397888"/>
        <c:axId val="80483456"/>
        <c:axId val="0"/>
      </c:bar3DChart>
      <c:catAx>
        <c:axId val="6939788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0483456"/>
        <c:crosses val="autoZero"/>
        <c:auto val="1"/>
        <c:lblAlgn val="ctr"/>
        <c:lblOffset val="100"/>
      </c:catAx>
      <c:valAx>
        <c:axId val="80483456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69397888"/>
        <c:crosses val="autoZero"/>
        <c:crossBetween val="between"/>
      </c:valAx>
      <c:spPr>
        <a:noFill/>
        <a:ln w="25400">
          <a:noFill/>
        </a:ln>
      </c:spPr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2E3A-4FD0-47F4-A7B4-FEA4ECF3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23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ekageva madina</cp:lastModifiedBy>
  <cp:revision>172</cp:revision>
  <cp:lastPrinted>2015-09-07T12:33:00Z</cp:lastPrinted>
  <dcterms:created xsi:type="dcterms:W3CDTF">2015-07-14T08:55:00Z</dcterms:created>
  <dcterms:modified xsi:type="dcterms:W3CDTF">2015-09-07T14:45:00Z</dcterms:modified>
</cp:coreProperties>
</file>